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52"/>
        <w:gridCol w:w="5908"/>
      </w:tblGrid>
      <w:tr w14:paraId="4E9DAB94" w14:textId="77777777" w:rsidTr="00DD59E7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499" w:type="dxa"/>
          </w:tcPr>
          <w:p w:rsidR="00A13F18" w:rsidRPr="00A13F18" w:rsidP="00A13F18" w14:paraId="77F0E289" w14:textId="77777777">
            <w:pPr>
              <w:spacing w:before="60" w:after="320"/>
              <w:jc w:val="left"/>
              <w:rPr>
                <w:rStyle w:val="DefaultParagraphFont"/>
                <w:rFonts w:ascii="Calibri" w:hAnsi="Calibri" w:cs="Calibri"/>
                <w:sz w:val="22"/>
                <w:szCs w:val="24"/>
                <w:lang w:val="en-CA" w:eastAsia="en-US" w:bidi="ar-SA"/>
              </w:rPr>
            </w:pPr>
            <w:bookmarkStart w:id="0" w:name="_GoBack"/>
            <w:bookmarkEnd w:id="0"/>
            <w:r w:rsidRPr="00A13F18">
              <w:rPr>
                <w:noProof/>
                <w:lang w:eastAsia="en-CA"/>
              </w:rPr>
              <w:drawing>
                <wp:inline distT="0" distB="0" distL="0" distR="0">
                  <wp:extent cx="1371600" cy="1371600"/>
                  <wp:effectExtent l="19050" t="19050" r="19050" b="1905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4867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13F18">
              <w:rPr>
                <w:rFonts w:ascii="Calibri" w:hAnsi="Calibri" w:cs="Calibri"/>
                <w:sz w:val="22"/>
                <w:szCs w:val="24"/>
                <w:lang w:val="en-CA" w:eastAsia="en-US" w:bidi="ar-SA"/>
              </w:rPr>
              <w:t xml:space="preserve"> </w:t>
            </w:r>
          </w:p>
          <w:p w:rsidR="00A13F18" w:rsidRPr="00A13F18" w:rsidP="00A13F18" w14:paraId="6F2F929C" w14:textId="77777777">
            <w:pPr>
              <w:keepNext/>
              <w:spacing w:before="240" w:after="120" w:line="300" w:lineRule="auto"/>
              <w:jc w:val="left"/>
              <w:rPr>
                <w:rStyle w:val="DefaultParagraphFont"/>
                <w:rFonts w:ascii="Calibri" w:eastAsia="DengXian Light" w:hAnsi="Calibri" w:cs="Times New Roman"/>
                <w:sz w:val="32"/>
                <w:szCs w:val="56"/>
                <w:lang w:val="en-CA" w:eastAsia="en-US" w:bidi="ar-SA"/>
              </w:rPr>
            </w:pPr>
            <w:r w:rsidRPr="00A13F18">
              <w:rPr>
                <w:rFonts w:ascii="Calibri" w:eastAsia="DengXian Light" w:hAnsi="Calibri" w:cs="Times New Roman"/>
                <w:b/>
                <w:noProof/>
                <w:sz w:val="32"/>
                <w:szCs w:val="56"/>
                <w:lang w:val="en-CA" w:eastAsia="en-US" w:bidi="ar-SA"/>
              </w:rPr>
              <w:t>Peter</w:t>
            </w:r>
            <w:r w:rsidRPr="00A13F18">
              <w:rPr>
                <w:rFonts w:ascii="Calibri" w:eastAsia="DengXian Light" w:hAnsi="Calibri" w:cs="Times New Roman"/>
                <w:b/>
                <w:sz w:val="32"/>
                <w:szCs w:val="56"/>
                <w:lang w:val="en-CA" w:eastAsia="en-US" w:bidi="ar-SA"/>
              </w:rPr>
              <w:t xml:space="preserve"> </w:t>
            </w:r>
            <w:r w:rsidRPr="00A13F18">
              <w:rPr>
                <w:rFonts w:ascii="Calibri" w:eastAsia="DengXian Light" w:hAnsi="Calibri" w:cs="Times New Roman"/>
                <w:b/>
                <w:noProof/>
                <w:sz w:val="32"/>
                <w:szCs w:val="56"/>
                <w:lang w:val="en-CA" w:eastAsia="en-US" w:bidi="ar-SA"/>
              </w:rPr>
              <w:t>Ruby</w:t>
            </w:r>
            <w:r w:rsidRPr="00A13F18">
              <w:rPr>
                <w:rFonts w:ascii="Calibri" w:eastAsia="DengXian Light" w:hAnsi="Calibri" w:cs="Times New Roman"/>
                <w:b/>
                <w:sz w:val="32"/>
                <w:szCs w:val="56"/>
                <w:lang w:val="en-CA" w:eastAsia="en-US" w:bidi="ar-SA"/>
              </w:rPr>
              <w:t xml:space="preserve"> </w:t>
            </w:r>
          </w:p>
          <w:p w:rsidR="00A13F18" w:rsidRPr="00120BAC" w:rsidP="00A13F18" w14:paraId="0F1859CB" w14:textId="77777777">
            <w:pPr>
              <w:spacing w:before="120" w:after="240"/>
              <w:jc w:val="left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Partner</w:t>
            </w:r>
          </w:p>
          <w:p w:rsidR="00A13F18" w:rsidRPr="00120BAC" w:rsidP="00A13F18" w14:paraId="3439829C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 xml:space="preserve">Tel: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416.597.4184</w:t>
            </w:r>
            <w:r w:rsidRPr="00120BAC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br/>
              <w:t xml:space="preserve">Email: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pruby@goodmans.ca</w:t>
            </w:r>
            <w:r w:rsidRPr="00120BAC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 xml:space="preserve"> </w:t>
            </w:r>
          </w:p>
          <w:p w:rsidR="00A13F18" w:rsidRPr="00120BAC" w:rsidP="00A13F18" w14:paraId="1D54678D" w14:textId="77777777">
            <w:pPr>
              <w:spacing w:before="360" w:after="360"/>
              <w:jc w:val="left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>
              <w:rPr>
                <w:sz w:val="20"/>
                <w:szCs w:val="20"/>
              </w:rPr>
              <w:pict>
                <v:rect id="_x0000_i1025" style="width:147.75pt;height:1pt" o:hrpct="900" o:hrstd="t" o:hrnoshade="t" o:hr="t" fillcolor="#cfcdcd" stroked="f"/>
              </w:pict>
            </w:r>
          </w:p>
          <w:p w:rsidR="00A13F18" w:rsidRPr="00120BAC" w:rsidP="00A13F18" w14:paraId="4A154DA3" w14:textId="77777777">
            <w:pPr>
              <w:keepNext/>
              <w:numPr>
                <w:ilvl w:val="1"/>
                <w:numId w:val="0"/>
              </w:numPr>
              <w:spacing w:before="360" w:after="60"/>
              <w:ind w:left="0" w:firstLine="0"/>
              <w:jc w:val="left"/>
              <w:rPr>
                <w:rStyle w:val="DefaultParagraphFont"/>
                <w:rFonts w:ascii="Calibri" w:eastAsia="DengXian" w:hAnsi="Calibri" w:cs="Times New Roman"/>
                <w:b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eastAsia="DengXian" w:hAnsi="Calibri" w:cs="Times New Roman"/>
                <w:b/>
                <w:sz w:val="20"/>
                <w:szCs w:val="20"/>
                <w:lang w:val="en-CA" w:eastAsia="en-US" w:bidi="ar-SA"/>
              </w:rPr>
              <w:t>Education</w:t>
            </w:r>
          </w:p>
          <w:p w:rsidR="00A13F18" w:rsidRPr="00120BAC" w:rsidP="00A13F18" w14:paraId="2E502FA5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Osgoode Hall Law School, J.D., 1994</w:t>
            </w:r>
          </w:p>
          <w:p w:rsidR="00A13F18" w:rsidRPr="00120BAC" w:rsidP="00A13F18" w14:paraId="5540A714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Osgoode Hall Law School, LL.M., 2000</w:t>
            </w:r>
            <w:r w:rsidRPr="00120BAC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 xml:space="preserve"> </w:t>
            </w:r>
          </w:p>
          <w:p w:rsidR="00A13F18" w:rsidRPr="00120BAC" w:rsidP="00A13F18" w14:paraId="2C5697D0" w14:textId="77777777">
            <w:pPr>
              <w:keepNext/>
              <w:numPr>
                <w:ilvl w:val="1"/>
                <w:numId w:val="0"/>
              </w:numPr>
              <w:spacing w:before="360" w:after="60"/>
              <w:ind w:left="0" w:firstLine="0"/>
              <w:jc w:val="left"/>
              <w:rPr>
                <w:rStyle w:val="DefaultParagraphFont"/>
                <w:rFonts w:ascii="Calibri" w:eastAsia="DengXian" w:hAnsi="Calibri" w:cs="Times New Roman"/>
                <w:b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eastAsia="DengXian" w:hAnsi="Calibri" w:cs="Times New Roman"/>
                <w:b/>
                <w:sz w:val="20"/>
                <w:szCs w:val="20"/>
                <w:lang w:val="en-CA" w:eastAsia="en-US" w:bidi="ar-SA"/>
              </w:rPr>
              <w:t>Professional Affiliations</w:t>
            </w:r>
          </w:p>
          <w:p w:rsidR="005F17A0" w:rsidP="0095636A" w14:paraId="110ACF79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Law Society of Ontario</w:t>
            </w:r>
          </w:p>
          <w:p w:rsidR="0095636A" w:rsidRPr="0022435B" w:rsidP="0095636A" w14:paraId="66C5FE51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Executive Committee Member an</w:t>
            </w:r>
            <w:r w:rsidR="007D1265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d Former Co-Chair Dispute Resol</w:t>
            </w: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u</w:t>
            </w:r>
            <w:r w:rsidR="007D1265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t</w:t>
            </w: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ions Committee</w:t>
            </w:r>
            <w:r w:rsidRPr="0022435B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,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International Technology Law Association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</w:p>
          <w:p w:rsidR="0095636A" w:rsidRPr="00120BAC" w:rsidP="00A13F18" w14:paraId="54BA4D74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22435B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Arbitrator/Mediator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, </w:t>
            </w:r>
            <w:r w:rsidRPr="0022435B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Arbitration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Place</w:t>
            </w:r>
          </w:p>
          <w:p w:rsidR="0095636A" w:rsidRPr="00120BAC" w:rsidP="00A13F18" w14:paraId="0A3A47CA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22435B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Arbitrator/Mediator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, </w:t>
            </w:r>
            <w:r w:rsidRPr="0022435B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American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Arbitration Association ICDR</w:t>
            </w:r>
          </w:p>
          <w:p w:rsidR="0095636A" w:rsidRPr="00120BAC" w:rsidP="00A13F18" w14:paraId="78E0D264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Chair of North America committee</w:t>
            </w:r>
            <w:r w:rsidR="0022435B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, </w:t>
            </w:r>
            <w:r w:rsidRPr="0022435B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Silicon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Valley Arbitration &amp; Mediation Center</w:t>
            </w:r>
          </w:p>
          <w:p w:rsidR="00A13F18" w:rsidRPr="00120BAC" w:rsidP="00A13F18" w14:paraId="63F44781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Former Directo</w:t>
            </w:r>
            <w:r w:rsidRPr="0022435B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r and Member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, </w:t>
            </w:r>
            <w:r w:rsidRPr="0022435B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Cana</w:t>
            </w:r>
            <w:r w:rsidRPr="0022435B" w:rsidR="0095636A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dian</w:t>
            </w:r>
            <w:r w:rsidRPr="00120BAC" w:rsidR="0095636A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Technology Law Association</w:t>
            </w:r>
          </w:p>
          <w:p w:rsidR="00A13F18" w:rsidRPr="00120BAC" w:rsidP="00A13F18" w14:paraId="2D67FF66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Member</w:t>
            </w:r>
            <w:r w:rsidRPr="00C16442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Toronto Computer Lawyers Group</w:t>
            </w:r>
          </w:p>
          <w:p w:rsidR="0095636A" w:rsidRPr="00120BAC" w:rsidP="00A13F18" w14:paraId="09BDB63D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Member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</w:t>
            </w: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5F17A0"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The</w:t>
            </w:r>
            <w:r w:rsidRP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Advocates</w:t>
            </w:r>
            <w:r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’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Society</w:t>
            </w:r>
          </w:p>
          <w:p w:rsidR="0095636A" w:rsidRPr="00120BAC" w:rsidP="00A13F18" w14:paraId="4E04EEE4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Member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</w:t>
            </w: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 w:rsidR="009F5D65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Canadian Bar Association</w:t>
            </w:r>
          </w:p>
          <w:p w:rsidR="00A13F18" w:rsidRPr="00120BAC" w:rsidP="00A13F18" w14:paraId="2E4D8B87" w14:textId="77777777">
            <w:pPr>
              <w:keepNext/>
              <w:numPr>
                <w:ilvl w:val="1"/>
                <w:numId w:val="0"/>
              </w:numPr>
              <w:spacing w:before="360" w:after="60"/>
              <w:ind w:left="0" w:firstLine="0"/>
              <w:jc w:val="left"/>
              <w:rPr>
                <w:rStyle w:val="DefaultParagraphFont"/>
                <w:rFonts w:ascii="Calibri" w:eastAsia="DengXian" w:hAnsi="Calibri" w:cs="Times New Roman"/>
                <w:b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eastAsia="DengXian" w:hAnsi="Calibri" w:cs="Times New Roman"/>
                <w:b/>
                <w:sz w:val="20"/>
                <w:szCs w:val="20"/>
                <w:lang w:val="en-CA" w:eastAsia="en-US" w:bidi="ar-SA"/>
              </w:rPr>
              <w:t>Year of Call</w:t>
            </w:r>
          </w:p>
          <w:p w:rsidR="00A13F18" w:rsidRPr="00A13F18" w:rsidP="00A13F18" w14:paraId="6FEE86B1" w14:textId="77777777">
            <w:pPr>
              <w:spacing w:before="120" w:after="0"/>
              <w:jc w:val="left"/>
              <w:rPr>
                <w:rStyle w:val="DefaultParagraphFont"/>
                <w:rFonts w:ascii="Calibri" w:hAnsi="Calibri" w:cs="Calibri"/>
                <w:sz w:val="22"/>
                <w:szCs w:val="22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1996</w:t>
            </w:r>
            <w:r w:rsidRPr="00120BAC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 xml:space="preserve">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Ontario </w:t>
            </w:r>
          </w:p>
        </w:tc>
        <w:tc>
          <w:tcPr>
            <w:tcW w:w="6077" w:type="dxa"/>
          </w:tcPr>
          <w:p w:rsidR="00695AB5" w:rsidRPr="00120BAC" w:rsidP="00A13F18" w14:paraId="2CB22D89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b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b/>
                <w:noProof/>
                <w:sz w:val="20"/>
                <w:szCs w:val="20"/>
                <w:lang w:val="en-CA" w:eastAsia="en-US" w:bidi="ar-SA"/>
              </w:rPr>
              <w:t>PRACTICE</w:t>
            </w:r>
          </w:p>
          <w:p w:rsidR="00FA4886" w:rsidP="00A13F18" w14:paraId="4A89B6B6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Peter Ruby is a partner </w:t>
            </w:r>
            <w:r w:rsidRPr="00120BAC" w:rsidR="009C107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in the </w:t>
            </w:r>
            <w:r w:rsidR="00CE2D6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Dispute Resolution</w:t>
            </w:r>
            <w:r w:rsidRPr="00120BAC" w:rsidR="00CE2D6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 w:rsidR="009C107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Group </w:t>
            </w:r>
            <w:r w:rsidRPr="00120BAC" w:rsidR="0072769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and </w:t>
            </w:r>
            <w:r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co-leads the</w:t>
            </w:r>
            <w:r w:rsidRPr="00120BAC" w:rsidR="0072769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 w:rsidR="009C107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Technology Law</w:t>
            </w:r>
            <w:r w:rsidRPr="00120BAC" w:rsidR="008328D6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Group</w:t>
            </w:r>
            <w:r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at Goodmans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. He has a national and international practice focused on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technology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 energy, corporate, commercial,</w:t>
            </w:r>
            <w:r w:rsidR="008D7AD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and restructuring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litigation and arbitration. </w:t>
            </w:r>
          </w:p>
          <w:p w:rsidR="00A13F18" w:rsidRPr="00120BAC" w:rsidP="00A13F18" w14:paraId="20334B12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His technology dispute resolution work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includ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es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software, </w:t>
            </w:r>
            <w:r w:rsidRPr="00120BAC" w:rsidR="0072769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hardware,</w:t>
            </w:r>
            <w:r w:rsidRPr="00120BAC" w:rsidR="0016273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artificial intelligence,</w:t>
            </w:r>
            <w:r w:rsidRPr="00120BAC" w:rsidR="0072769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quantum computing,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telecommunications, film, television, privacy and data protection, intellectual property, ecommerce and internet litigation, </w:t>
            </w:r>
            <w:r w:rsidRPr="00120BAC" w:rsidR="0016273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and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Canadi</w:t>
            </w:r>
            <w:r w:rsidRPr="00120BAC" w:rsidR="0072769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an and cross-border arbitration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and mediation.  Peter has a balanced practice, representing multinational and entrepreneurial vendors of technology and services, along with many end-users of information technology. </w:t>
            </w:r>
          </w:p>
          <w:p w:rsidR="00A13F18" w:rsidRPr="00120BAC" w:rsidP="00A13F18" w14:paraId="6AD3BB0B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Peter </w:t>
            </w:r>
            <w:r w:rsidRPr="00120BAC" w:rsidR="004E62A1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handles </w:t>
            </w:r>
            <w:r w:rsidR="0085672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disputes and regulatory </w:t>
            </w:r>
            <w:r w:rsidRPr="00120BAC" w:rsidR="004E62A1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matters relating to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="0085672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the </w:t>
            </w:r>
            <w:r w:rsidR="00686A14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energy</w:t>
            </w:r>
            <w:r w:rsidR="0085672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industr</w:t>
            </w:r>
            <w:r w:rsidR="00686A14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y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, has acted as counsel for the Canadian Electricity Association, </w:t>
            </w:r>
            <w:r w:rsidRPr="00686A14" w:rsidR="00686A14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electricity utilities,</w:t>
            </w:r>
            <w:r w:rsidR="00686A14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686A14" w:rsidR="00686A14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developers and operators of renewable power projects, resource comp</w:t>
            </w:r>
            <w:r w:rsidR="00686A14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anies and provincial government bodies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.  He has appeared at the Ontario Energy Board with respect to generation, transmission, mergers and acquisitions, real estate development and distribution issues, and before other provincial energy regulators.</w:t>
            </w:r>
          </w:p>
          <w:p w:rsidR="00A13F18" w:rsidP="00A13F18" w14:paraId="57BB761A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With respect to privacy and data protection, Peter has successfully litigated business-related privacy cases and has considerable experience assisting clients</w:t>
            </w:r>
            <w:r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 w:rsidR="0033736A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on a highly </w:t>
            </w:r>
            <w:r w:rsidRPr="00120BAC" w:rsidR="009C107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confidential </w:t>
            </w:r>
            <w:r w:rsidRPr="00120BAC" w:rsidR="0033736A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basis</w:t>
            </w:r>
            <w:r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</w:t>
            </w:r>
            <w:r w:rsidRPr="00120BAC" w:rsidR="0033736A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 w:rsidR="004E62A1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on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Pr="00120BAC" w:rsidR="0072769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data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breach incidents.  He also assists organizations to deal with privacy inquiries and investigations by privacy commissioners, and </w:t>
            </w:r>
            <w:r w:rsidRPr="00120BAC" w:rsidR="004E62A1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to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negotiate privacy-related agreements.  </w:t>
            </w:r>
          </w:p>
          <w:p w:rsidR="00784C22" w:rsidP="00A13F18" w14:paraId="4DAEACDE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Peter also represents clients with respect to a variety of corporate, commercial and restructuring disputes, including shareholder matters, contract interpretation</w:t>
            </w:r>
            <w:r w:rsidR="00E872F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and application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issues and </w:t>
            </w:r>
            <w:r w:rsidR="00E872F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acqusition-related disputes.</w:t>
            </w:r>
          </w:p>
          <w:p w:rsidR="00E872F0" w:rsidRPr="00120BAC" w:rsidP="00A13F18" w14:paraId="412AB04B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E872F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He has appeared at all levels of the courts of Ontario and the Supreme Court of Canada, as well as at many arbitration proceedings.</w:t>
            </w:r>
          </w:p>
          <w:p w:rsidR="00A13F18" w:rsidRPr="00120BAC" w:rsidP="00A13F18" w14:paraId="1DB9F973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In addition to his busy counsel practice,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Peter acts as an arbitrator and mediator. </w:t>
            </w:r>
            <w:r w:rsidRPr="00E872F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He is a member arbitrator/mediator of Arbitration Place, on the Canadian roster of the AAA’s International Center for Dispute Resolution, and is the Chair of the North America committee of the Silicon Valley Arbitration &amp; Mediation Center.</w:t>
            </w:r>
          </w:p>
          <w:p w:rsidR="00A13F18" w:rsidRPr="00120BAC" w:rsidP="00A13F18" w14:paraId="02A38035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b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b/>
                <w:noProof/>
                <w:sz w:val="20"/>
                <w:szCs w:val="20"/>
                <w:lang w:val="en-CA" w:eastAsia="en-US" w:bidi="ar-SA"/>
              </w:rPr>
              <w:t>REPRESENTATIVE WORK</w:t>
            </w:r>
          </w:p>
          <w:p w:rsidR="009C1078" w:rsidRPr="00120BAC" w:rsidP="00A13F18" w14:paraId="557A130C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Peter’s representative work includes acting for:</w:t>
            </w:r>
          </w:p>
          <w:p w:rsidR="00695AB5" w:rsidRPr="00120BAC" w:rsidP="00695AB5" w14:paraId="47398A21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Technology</w:t>
            </w:r>
          </w:p>
          <w:p w:rsidR="00A13F18" w:rsidRPr="00120BAC" w:rsidP="00054583" w14:paraId="0574EB82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</w:t>
            </w:r>
            <w:r w:rsidRPr="00120BAC" w:rsidR="009C107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he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Monitor of Nortel</w:t>
            </w:r>
            <w:r w:rsidR="00D570E2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Networks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in an unprecedented cross-border dispute over the allocation of the insolvent Nortel’s assets and 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advising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on IT, IP, business law and valuation issues</w:t>
            </w:r>
          </w:p>
          <w:p w:rsidR="00FD2F39" w:rsidRPr="00120BAC" w:rsidP="00FD2F39" w14:paraId="717B93B2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Oracle in several litigations involving customers, business partners and implementers</w:t>
            </w:r>
          </w:p>
          <w:p w:rsidR="00FD2F39" w:rsidRPr="00120BAC" w:rsidP="00FD2F39" w14:paraId="2CDDF9B8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SAP in litigation and arbitration proceedings involving customers, business partners and implementers</w:t>
            </w:r>
          </w:p>
          <w:p w:rsidR="00A13F18" w:rsidRPr="00120BAC" w:rsidP="00054583" w14:paraId="5AC1CA9B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The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Business Development Bank of Canada in 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software fraud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litigation concerning a failed </w:t>
            </w:r>
            <w:r w:rsidRPr="00120BAC" w:rsidR="00695AB5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technology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acquisition</w:t>
            </w:r>
          </w:p>
          <w:p w:rsidR="00A13F18" w:rsidRPr="00120BAC" w:rsidP="00054583" w14:paraId="57867014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Trader Corp. in mass on-line copyright infringement litigation</w:t>
            </w:r>
          </w:p>
          <w:p w:rsidR="00A13F18" w:rsidRPr="00120BAC" w:rsidP="00054583" w14:paraId="5B868BF3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Bell Media in a Reference to the Supreme Court of Canada opposite Canada’s largest cable companies</w:t>
            </w:r>
          </w:p>
          <w:p w:rsidR="00A13F18" w:rsidRPr="00120BAC" w:rsidP="00054583" w14:paraId="53B3DD91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Bell Media and Rogers Media in arbitration proceedings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and terms of trade</w:t>
            </w:r>
          </w:p>
          <w:p w:rsidR="00A13F18" w:rsidRPr="00120BAC" w:rsidP="00054583" w14:paraId="3647D9EB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Software AG in litigation and arbitration with </w:t>
            </w:r>
            <w:r w:rsidR="005F17A0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respect 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to disputes with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Canadian 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corporate and government customers</w:t>
            </w:r>
          </w:p>
          <w:p w:rsidR="00A13F18" w:rsidRPr="00120BAC" w:rsidP="00054583" w14:paraId="7D7FE8D4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CBS Television in internet identity theft litigation</w:t>
            </w:r>
          </w:p>
          <w:p w:rsidR="00A13F18" w:rsidRPr="00120BAC" w:rsidP="00054583" w14:paraId="2F1412C4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AXA Asia </w:t>
            </w:r>
            <w:r w:rsidRPr="00120BAC" w:rsidR="0093446B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in 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obtaining an injunction to prevent a software provider from shutting down an insurer’s operations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</w:t>
            </w:r>
          </w:p>
          <w:p w:rsidR="00A13F18" w:rsidRPr="00120BAC" w:rsidP="00054583" w14:paraId="3020A586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NBCUniversal in copyright litigation with respect to the film Charlie Wilson’s War</w:t>
            </w:r>
            <w:r w:rsidRPr="00120BAC" w:rsidR="0095636A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and other matters</w:t>
            </w:r>
          </w:p>
          <w:p w:rsidR="0033736A" w:rsidRPr="00120BAC" w:rsidP="0033736A" w14:paraId="6F7AC19F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Energy</w:t>
            </w:r>
          </w:p>
          <w:p w:rsidR="0033736A" w:rsidRPr="00120BAC" w:rsidP="0033736A" w14:paraId="5362D697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19 power companies in a landmark case in the Supreme Court of Canada against Canada’s cable television companies</w:t>
            </w:r>
          </w:p>
          <w:p w:rsidR="00A13F18" w:rsidRPr="00120BAC" w:rsidP="00054583" w14:paraId="11CF3301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t</w:t>
            </w:r>
            <w:r w:rsidRPr="00120BAC" w:rsidR="008328D6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he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majority owner of a wind-power project</w:t>
            </w:r>
            <w:r w:rsidRPr="00120BAC" w:rsidR="008328D6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in arbitration regarding a shareholder dispute</w:t>
            </w:r>
          </w:p>
          <w:p w:rsidR="00E872F0" w:rsidP="0033736A" w14:paraId="54E4602A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 dispute with respect to a gas development project</w:t>
            </w:r>
          </w:p>
          <w:p w:rsidR="0033736A" w:rsidRPr="00120BAC" w:rsidP="0033736A" w14:paraId="584A0AF1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renewable energy developer in a dispute </w:t>
            </w:r>
            <w:r w:rsidRPr="00120BAC" w:rsidR="008328D6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over </w:t>
            </w:r>
            <w:r w:rsidRPr="00120BAC" w:rsidR="00FD2F39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compensation owing to it by other participants in the project</w:t>
            </w:r>
          </w:p>
          <w:p w:rsidR="00A13F18" w:rsidP="00054583" w14:paraId="2B9297AB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Atlantic Power in regulatory and arbitration proceedings</w:t>
            </w:r>
          </w:p>
          <w:p w:rsidR="00E872F0" w:rsidRPr="00120BAC" w:rsidP="00054583" w14:paraId="31D145FA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several provincial government bodies with respect to commerical and corporate issues</w:t>
            </w:r>
          </w:p>
          <w:p w:rsidR="00C64A7A" w:rsidP="00C64A7A" w14:paraId="44764CE7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v</w:t>
            </w:r>
            <w:r w:rsidRPr="00120BAC" w:rsidR="008328D6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arious power companies, including </w:t>
            </w:r>
            <w:r w:rsidRPr="00120BAC" w:rsidR="00A13F18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Hydro Quebec, B.C. Hydro, New Brunswick Power, ENMAX Corporation, Manitoba Hydro and Greater Sudbury Hydro</w:t>
            </w:r>
            <w:r w:rsidRPr="00120BAC" w:rsidR="008328D6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, in connection with novel matters arising in each of their provinces and/or at hearings</w:t>
            </w:r>
          </w:p>
          <w:p w:rsidR="00C64A7A" w:rsidRPr="00C64A7A" w:rsidP="00C64A7A" w14:paraId="097125E5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</w:pPr>
            <w:r w:rsidRPr="00C64A7A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C</w:t>
            </w:r>
            <w:r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ommercial, Corporate and Restru</w:t>
            </w:r>
            <w:r w:rsidRPr="00C64A7A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cturing</w:t>
            </w:r>
          </w:p>
          <w:p w:rsidR="00C64A7A" w:rsidP="00C64A7A" w14:paraId="54C76BDA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>li</w:t>
            </w:r>
            <w:r w:rsidRPr="00C64A7A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 xml:space="preserve">tigation </w:t>
            </w:r>
            <w:r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>concerning the restructuring of Stelco</w:t>
            </w:r>
          </w:p>
          <w:p w:rsidR="00C64A7A" w:rsidP="00C64A7A" w14:paraId="018163BD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>litigation concerning a contract dispute arising from the insolvency of Nortel</w:t>
            </w:r>
          </w:p>
          <w:p w:rsidR="002478E3" w:rsidP="00C64A7A" w14:paraId="5BDBFF75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>several arbitrations concerning breaches of representations in share purchase agreements</w:t>
            </w:r>
          </w:p>
          <w:p w:rsidR="002478E3" w:rsidP="00C64A7A" w14:paraId="21E41562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>arbitration concerning a purchase price adjustment under an asset purchase agreement</w:t>
            </w:r>
          </w:p>
          <w:p w:rsidR="00C64A7A" w:rsidRPr="008D7AD0" w:rsidP="0033736A" w14:paraId="4615026E" w14:textId="77777777">
            <w:pPr>
              <w:pStyle w:val="ListParagraph"/>
              <w:numPr>
                <w:ilvl w:val="0"/>
                <w:numId w:val="17"/>
              </w:numPr>
              <w:spacing w:after="120"/>
              <w:ind w:left="720" w:hanging="360"/>
              <w:contextualSpacing/>
              <w:jc w:val="both"/>
              <w:rPr>
                <w:rStyle w:val="DefaultParagraphFont"/>
                <w:rFonts w:ascii="Calibri" w:hAnsi="Calibri" w:cs="Calibri"/>
                <w:sz w:val="20"/>
                <w:szCs w:val="20"/>
                <w:lang w:val="en-CA" w:eastAsia="en-US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>many litigation and arbitration proceedings turning on the interpretation of contracts</w:t>
            </w:r>
            <w:r w:rsidR="002478E3">
              <w:rPr>
                <w:rFonts w:ascii="Calibri" w:hAnsi="Calibri" w:cs="Calibri"/>
                <w:sz w:val="20"/>
                <w:szCs w:val="20"/>
                <w:lang w:val="en-CA" w:eastAsia="en-US" w:bidi="ar-SA"/>
              </w:rPr>
              <w:t xml:space="preserve"> </w:t>
            </w:r>
          </w:p>
          <w:p w:rsidR="00C64A7A" w:rsidRPr="00120BAC" w:rsidP="0033736A" w14:paraId="2F0B07C9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b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b/>
                <w:sz w:val="20"/>
                <w:szCs w:val="20"/>
                <w:lang w:val="en-CA" w:eastAsia="en-US" w:bidi="ar-SA"/>
              </w:rPr>
              <w:t>RECOGNITION</w:t>
            </w:r>
          </w:p>
          <w:p w:rsidR="0095636A" w:rsidRPr="00120BAC" w:rsidP="0095636A" w14:paraId="55366AFB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Pet</w:t>
            </w:r>
            <w:r w:rsidR="009C0063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er is recognized as a leading technology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litigator </w:t>
            </w:r>
            <w:r w:rsidR="00574FAE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and arbitration counsel 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>in</w:t>
            </w: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 </w:t>
            </w:r>
            <w:r w:rsidR="009C0063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Chambers Canada and </w:t>
            </w: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Chambers Global Guide to The World’s Leading Lawyers for Business, </w:t>
            </w:r>
            <w:r w:rsidR="009C0063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The Legal 500 Canada, </w:t>
            </w: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The Canadian Legal Lexpert Directory, Euromoney’s Guide to The World’s Leading Information Technology Lawyers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and </w:t>
            </w: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Best Lawyers in Canada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, and is also recognized by </w:t>
            </w:r>
            <w:r w:rsidR="00730835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Wh</w:t>
            </w:r>
            <w:r w:rsidR="001F41D7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o’s </w:t>
            </w:r>
            <w:r w:rsidR="00730835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 xml:space="preserve">Who Legal and </w:t>
            </w:r>
            <w:r w:rsidRPr="00120BAC">
              <w:rPr>
                <w:rFonts w:ascii="Calibri" w:hAnsi="Calibri" w:cs="Calibri"/>
                <w:i/>
                <w:noProof/>
                <w:sz w:val="20"/>
                <w:szCs w:val="20"/>
                <w:lang w:val="en-CA" w:eastAsia="en-US" w:bidi="ar-SA"/>
              </w:rPr>
              <w:t>Benchmark Canada: The Guide to Canada’s Leading Litigation Firms and Attorneys</w:t>
            </w: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 in the areas of international arbitration, energy and intellectual property.  </w:t>
            </w:r>
          </w:p>
          <w:p w:rsidR="0095636A" w:rsidRPr="00120BAC" w:rsidP="0095636A" w14:paraId="23B30B88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b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b/>
                <w:noProof/>
                <w:sz w:val="20"/>
                <w:szCs w:val="20"/>
                <w:lang w:val="en-CA" w:eastAsia="en-US" w:bidi="ar-SA"/>
              </w:rPr>
              <w:t>PROFESSIONAL INVOLVEMENT</w:t>
            </w:r>
          </w:p>
          <w:p w:rsidR="0095636A" w:rsidRPr="005F17A0" w:rsidP="008D7AD0" w14:paraId="26CE2CE9" w14:textId="77777777">
            <w:pPr>
              <w:spacing w:after="120"/>
              <w:jc w:val="both"/>
              <w:rPr>
                <w:rStyle w:val="DefaultParagraphFont"/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</w:pPr>
            <w:r w:rsidRPr="00120BAC">
              <w:rPr>
                <w:rFonts w:ascii="Calibri" w:hAnsi="Calibri" w:cs="Calibri"/>
                <w:noProof/>
                <w:sz w:val="20"/>
                <w:szCs w:val="20"/>
                <w:lang w:val="en-CA" w:eastAsia="en-US" w:bidi="ar-SA"/>
              </w:rPr>
              <w:t xml:space="preserve">Peter was a law clerk to the Federal Court of Canada and for over a dozen years was a Professor of Law (adj.) at the University of Toronto and Osgoode Hall Law School teaching internet law.  He was a co-chair of the 2017 World Technology Law Conference in Chicago and is a member of the Executive Committee of the International Technology Law Association.  </w:t>
            </w:r>
          </w:p>
        </w:tc>
      </w:tr>
    </w:tbl>
    <w:p w:rsidR="004F3BFE" w:rsidP="00584F39" w14:paraId="11CC2ACE" w14:textId="77777777"/>
    <w:sectPr w:rsidSect="004906B8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3F18" w:rsidP="00A13F18" w14:paraId="1760FDD6" w14:textId="77777777">
    <w:pPr>
      <w:pStyle w:val="Footer"/>
      <w:jc w:val="right"/>
    </w:pPr>
    <w:r w:rsidRPr="00A13F18">
      <w:rPr>
        <w:b/>
        <w:noProof/>
        <w:color w:val="FFFFFF"/>
        <w:lang w:eastAsia="en-CA"/>
      </w:rPr>
      <w:drawing>
        <wp:inline distT="0" distB="0" distL="0" distR="0">
          <wp:extent cx="1809750" cy="285750"/>
          <wp:effectExtent l="0" t="0" r="0" b="0"/>
          <wp:docPr id="6" name="Picture 10" descr="G:\Marketing\Logos\2010 Goodmans Logo\GoodmansLogo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183843" name="Picture 10" descr="G:\Marketing\Logos\2010 Goodmans Logo\GoodmansLogoColour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3F18" w:rsidP="00A13F18" w14:paraId="233FFF6A" w14:textId="77777777">
    <w:pPr>
      <w:pStyle w:val="Footer"/>
      <w:jc w:val="right"/>
    </w:pPr>
    <w:r w:rsidRPr="00A13F18">
      <w:rPr>
        <w:b/>
        <w:noProof/>
        <w:color w:val="FFFFFF"/>
        <w:lang w:eastAsia="en-CA"/>
      </w:rPr>
      <w:drawing>
        <wp:inline distT="0" distB="0" distL="0" distR="0">
          <wp:extent cx="1809750" cy="285750"/>
          <wp:effectExtent l="0" t="0" r="0" b="0"/>
          <wp:docPr id="5" name="Picture 10" descr="G:\Marketing\Logos\2010 Goodmans Logo\GoodmansLogo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311903" name="Picture 10" descr="G:\Marketing\Logos\2010 Goodmans Logo\GoodmansLogoColour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72F1" w:rsidRPr="004906B8" w:rsidP="004906B8" w14:paraId="0B7EAD2E" w14:textId="77777777">
    <w:pPr>
      <w:jc w:val="center"/>
    </w:pPr>
    <w:r w:rsidRPr="004906B8">
      <w:t xml:space="preserve">- </w:t>
    </w:r>
    <w:r w:rsidRPr="004906B8">
      <w:fldChar w:fldCharType="begin"/>
    </w:r>
    <w:r w:rsidRPr="004906B8">
      <w:instrText xml:space="preserve"> PAGE  \* MERGEFORMAT </w:instrText>
    </w:r>
    <w:r w:rsidRPr="004906B8">
      <w:fldChar w:fldCharType="separate"/>
    </w:r>
    <w:r w:rsidR="009C542E">
      <w:rPr>
        <w:noProof/>
      </w:rPr>
      <w:t>2</w:t>
    </w:r>
    <w:r w:rsidRPr="004906B8">
      <w:fldChar w:fldCharType="end"/>
    </w:r>
    <w:r w:rsidRPr="004906B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2CB8" w14:paraId="5CC7DB00" w14:textId="7777777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018FF"/>
    <w:multiLevelType w:val="multilevel"/>
    <w:tmpl w:val="D59ECC0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3785E33"/>
    <w:multiLevelType w:val="multilevel"/>
    <w:tmpl w:val="3E70A9B2"/>
    <w:name w:val="BulletsA-417646053-F"/>
    <w:styleLink w:val="BulletsAList"/>
    <w:lvl w:ilvl="0">
      <w:start w:val="1"/>
      <w:numFmt w:val="bullet"/>
      <w:pStyle w:val="BulletsAL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bullet"/>
      <w:lvlRestart w:val="0"/>
      <w:pStyle w:val="BulletsAL2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2">
      <w:start w:val="1"/>
      <w:numFmt w:val="bullet"/>
      <w:lvlRestart w:val="0"/>
      <w:pStyle w:val="BulletsAL3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3">
      <w:start w:val="1"/>
      <w:numFmt w:val="bullet"/>
      <w:lvlRestart w:val="0"/>
      <w:pStyle w:val="BulletsAL4"/>
      <w:lvlText w:val="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bullet"/>
      <w:lvlRestart w:val="0"/>
      <w:pStyle w:val="BulletsAL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5">
      <w:start w:val="1"/>
      <w:numFmt w:val="bullet"/>
      <w:lvlRestart w:val="0"/>
      <w:pStyle w:val="BulletsAL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6">
      <w:start w:val="1"/>
      <w:numFmt w:val="bullet"/>
      <w:lvlRestart w:val="0"/>
      <w:pStyle w:val="BulletsAL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7">
      <w:start w:val="1"/>
      <w:numFmt w:val="bullet"/>
      <w:lvlRestart w:val="0"/>
      <w:pStyle w:val="BulletsAL8"/>
      <w:lvlText w:val="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  <w:lvl w:ilvl="8">
      <w:start w:val="1"/>
      <w:numFmt w:val="bullet"/>
      <w:lvlRestart w:val="0"/>
      <w:pStyle w:val="BulletsAL9"/>
      <w:lvlText w:val="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aps w:val="0"/>
        <w:smallCaps w:val="0"/>
        <w:color w:val="000000"/>
        <w:sz w:val="24"/>
        <w:u w:val="none"/>
      </w:rPr>
    </w:lvl>
  </w:abstractNum>
  <w:abstractNum w:abstractNumId="12">
    <w:nsid w:val="625F17C6"/>
    <w:multiLevelType w:val="multilevel"/>
    <w:tmpl w:val="378EB60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2CB5F87"/>
    <w:multiLevelType w:val="hybridMultilevel"/>
    <w:tmpl w:val="2EF82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D2789"/>
    <w:multiLevelType w:val="singleLevel"/>
    <w:tmpl w:val="0A1AC80C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74D72C59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9BB4CF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80"/>
  <w:embedSystemFonts/>
  <w:attachedTemplate r:id="rId1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trackRevisions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18"/>
    <w:rsid w:val="00015B33"/>
    <w:rsid w:val="0002107C"/>
    <w:rsid w:val="0004209F"/>
    <w:rsid w:val="00046756"/>
    <w:rsid w:val="00054583"/>
    <w:rsid w:val="00055437"/>
    <w:rsid w:val="000709A3"/>
    <w:rsid w:val="00093D7F"/>
    <w:rsid w:val="000E72F1"/>
    <w:rsid w:val="000F56C8"/>
    <w:rsid w:val="00105FF1"/>
    <w:rsid w:val="00120BAC"/>
    <w:rsid w:val="0016273E"/>
    <w:rsid w:val="0016289E"/>
    <w:rsid w:val="0017233F"/>
    <w:rsid w:val="001B60CD"/>
    <w:rsid w:val="001E3700"/>
    <w:rsid w:val="001F41D7"/>
    <w:rsid w:val="00201C45"/>
    <w:rsid w:val="002105B2"/>
    <w:rsid w:val="0022435B"/>
    <w:rsid w:val="002478E3"/>
    <w:rsid w:val="0026233F"/>
    <w:rsid w:val="0027783F"/>
    <w:rsid w:val="002C29B6"/>
    <w:rsid w:val="002E1FE9"/>
    <w:rsid w:val="002F1AB5"/>
    <w:rsid w:val="00304BB3"/>
    <w:rsid w:val="00323170"/>
    <w:rsid w:val="0033736A"/>
    <w:rsid w:val="00342DD2"/>
    <w:rsid w:val="003A5303"/>
    <w:rsid w:val="003B52B9"/>
    <w:rsid w:val="003C0453"/>
    <w:rsid w:val="003F7525"/>
    <w:rsid w:val="004906B8"/>
    <w:rsid w:val="00495187"/>
    <w:rsid w:val="00496F44"/>
    <w:rsid w:val="004B4003"/>
    <w:rsid w:val="004E3001"/>
    <w:rsid w:val="004E62A1"/>
    <w:rsid w:val="004F3BFE"/>
    <w:rsid w:val="004F4F93"/>
    <w:rsid w:val="00532F58"/>
    <w:rsid w:val="00542BCA"/>
    <w:rsid w:val="0056446D"/>
    <w:rsid w:val="00574FAE"/>
    <w:rsid w:val="00575AC6"/>
    <w:rsid w:val="00584F39"/>
    <w:rsid w:val="00586356"/>
    <w:rsid w:val="005E6DFD"/>
    <w:rsid w:val="005F17A0"/>
    <w:rsid w:val="005F58AF"/>
    <w:rsid w:val="006236CA"/>
    <w:rsid w:val="0062458E"/>
    <w:rsid w:val="00627F8D"/>
    <w:rsid w:val="00686A14"/>
    <w:rsid w:val="00693D69"/>
    <w:rsid w:val="00695AB5"/>
    <w:rsid w:val="006A196F"/>
    <w:rsid w:val="006A2299"/>
    <w:rsid w:val="006F6D85"/>
    <w:rsid w:val="0070185B"/>
    <w:rsid w:val="0072769E"/>
    <w:rsid w:val="00730835"/>
    <w:rsid w:val="00737AC4"/>
    <w:rsid w:val="00747B2E"/>
    <w:rsid w:val="00756E78"/>
    <w:rsid w:val="00782F94"/>
    <w:rsid w:val="00784C22"/>
    <w:rsid w:val="007D1265"/>
    <w:rsid w:val="007E2CB8"/>
    <w:rsid w:val="007E40AC"/>
    <w:rsid w:val="007F03F9"/>
    <w:rsid w:val="008328D6"/>
    <w:rsid w:val="00852CBA"/>
    <w:rsid w:val="00853F21"/>
    <w:rsid w:val="00856728"/>
    <w:rsid w:val="00862570"/>
    <w:rsid w:val="008B21F8"/>
    <w:rsid w:val="008D7AD0"/>
    <w:rsid w:val="00924FDF"/>
    <w:rsid w:val="00930129"/>
    <w:rsid w:val="0093446B"/>
    <w:rsid w:val="009423C9"/>
    <w:rsid w:val="009517AD"/>
    <w:rsid w:val="0095636A"/>
    <w:rsid w:val="009A605E"/>
    <w:rsid w:val="009B0AE8"/>
    <w:rsid w:val="009B22B2"/>
    <w:rsid w:val="009C0063"/>
    <w:rsid w:val="009C1078"/>
    <w:rsid w:val="009C542E"/>
    <w:rsid w:val="009D4BF2"/>
    <w:rsid w:val="009F5D65"/>
    <w:rsid w:val="00A13F18"/>
    <w:rsid w:val="00A365F8"/>
    <w:rsid w:val="00A75416"/>
    <w:rsid w:val="00AA0C2E"/>
    <w:rsid w:val="00AD6294"/>
    <w:rsid w:val="00B458E5"/>
    <w:rsid w:val="00B579C5"/>
    <w:rsid w:val="00B708C9"/>
    <w:rsid w:val="00B73409"/>
    <w:rsid w:val="00B81D78"/>
    <w:rsid w:val="00B96BBF"/>
    <w:rsid w:val="00B96F29"/>
    <w:rsid w:val="00BA0776"/>
    <w:rsid w:val="00BA1090"/>
    <w:rsid w:val="00BA158B"/>
    <w:rsid w:val="00BA1F8D"/>
    <w:rsid w:val="00BE7800"/>
    <w:rsid w:val="00C00BA2"/>
    <w:rsid w:val="00C16442"/>
    <w:rsid w:val="00C47651"/>
    <w:rsid w:val="00C64A7A"/>
    <w:rsid w:val="00CE2D60"/>
    <w:rsid w:val="00CE4703"/>
    <w:rsid w:val="00D570E2"/>
    <w:rsid w:val="00D80D88"/>
    <w:rsid w:val="00D821FF"/>
    <w:rsid w:val="00D869C0"/>
    <w:rsid w:val="00DC1588"/>
    <w:rsid w:val="00DD07AE"/>
    <w:rsid w:val="00DE4688"/>
    <w:rsid w:val="00E338A2"/>
    <w:rsid w:val="00E872F0"/>
    <w:rsid w:val="00E97E5F"/>
    <w:rsid w:val="00EC0DC8"/>
    <w:rsid w:val="00EF4492"/>
    <w:rsid w:val="00F222FD"/>
    <w:rsid w:val="00F233D2"/>
    <w:rsid w:val="00F528E9"/>
    <w:rsid w:val="00FA4886"/>
    <w:rsid w:val="00FA5F8B"/>
    <w:rsid w:val="00FC6ECE"/>
    <w:rsid w:val="00FD2F39"/>
    <w:rsid w:val="00FD4FA4"/>
    <w:rsid w:val="00FE6292"/>
    <w:rsid w:val="00FF1DA0"/>
    <w:rsid w:val="00FF670C"/>
  </w:rsids>
  <m:mathPr>
    <m:mathFont m:val="Cambria Math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29AE21B-FA39-4D08-83B0-E476B6F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F2"/>
    <w:pPr>
      <w:spacing w:after="240"/>
      <w:jc w:val="both"/>
    </w:pPr>
    <w:rPr>
      <w:rFonts w:ascii="Calibri" w:hAnsi="Calibri" w:cs="Calibri"/>
      <w:sz w:val="22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9D4BF2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9D4BF2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D4BF2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9D4BF2"/>
    <w:pPr>
      <w:keepNext/>
      <w:keepLines/>
      <w:jc w:val="left"/>
      <w:outlineLvl w:val="3"/>
    </w:pPr>
    <w:rPr>
      <w:rFonts w:eastAsia="SimSun" w:cs="Angsana New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9D4BF2"/>
    <w:pPr>
      <w:keepNext/>
      <w:keepLines/>
      <w:jc w:val="left"/>
      <w:outlineLvl w:val="4"/>
    </w:pPr>
    <w:rPr>
      <w:rFonts w:eastAsia="SimSun" w:cs="Angsana New"/>
    </w:rPr>
  </w:style>
  <w:style w:type="paragraph" w:styleId="Heading6">
    <w:name w:val="heading 6"/>
    <w:basedOn w:val="Normal"/>
    <w:next w:val="Normal"/>
    <w:link w:val="Heading6Char"/>
    <w:semiHidden/>
    <w:qFormat/>
    <w:rsid w:val="009D4BF2"/>
    <w:pPr>
      <w:keepNext/>
      <w:keepLines/>
      <w:jc w:val="left"/>
      <w:outlineLvl w:val="5"/>
    </w:pPr>
    <w:rPr>
      <w:rFonts w:eastAsia="SimSun" w:cs="Angsana New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9D4BF2"/>
    <w:pPr>
      <w:keepNext/>
      <w:keepLines/>
      <w:jc w:val="left"/>
      <w:outlineLvl w:val="6"/>
    </w:pPr>
    <w:rPr>
      <w:rFonts w:eastAsia="SimSun" w:cs="Angsana New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9D4BF2"/>
    <w:pPr>
      <w:keepNext/>
      <w:keepLines/>
      <w:jc w:val="left"/>
      <w:outlineLvl w:val="7"/>
    </w:pPr>
    <w:rPr>
      <w:rFonts w:eastAsia="SimSun" w:cs="Angsana New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9D4BF2"/>
    <w:pPr>
      <w:keepNext/>
      <w:keepLines/>
      <w:jc w:val="left"/>
      <w:outlineLvl w:val="8"/>
    </w:pPr>
    <w:rPr>
      <w:rFonts w:eastAsia="SimSun" w:cs="Angsana New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aliases w:val="B"/>
    <w:basedOn w:val="Normal"/>
    <w:rsid w:val="009D4BF2"/>
    <w:pPr>
      <w:ind w:left="720" w:right="720"/>
    </w:pPr>
  </w:style>
  <w:style w:type="paragraph" w:customStyle="1" w:styleId="Block1">
    <w:name w:val="Block1"/>
    <w:aliases w:val="B1"/>
    <w:basedOn w:val="Normal"/>
    <w:rsid w:val="009D4BF2"/>
    <w:pPr>
      <w:ind w:left="1440" w:right="1440"/>
    </w:pPr>
    <w:rPr>
      <w:szCs w:val="20"/>
    </w:rPr>
  </w:style>
  <w:style w:type="paragraph" w:styleId="BodyText">
    <w:name w:val="Body Text"/>
    <w:aliases w:val="BT"/>
    <w:basedOn w:val="Normal"/>
    <w:link w:val="BodyTextChar"/>
    <w:semiHidden/>
    <w:rsid w:val="009D4BF2"/>
  </w:style>
  <w:style w:type="character" w:customStyle="1" w:styleId="BodyTextChar">
    <w:name w:val="Body Text Char"/>
    <w:aliases w:val="BT Char"/>
    <w:link w:val="BodyText"/>
    <w:semiHidden/>
    <w:rsid w:val="009D4BF2"/>
    <w:rPr>
      <w:sz w:val="24"/>
      <w:szCs w:val="24"/>
      <w:lang w:eastAsia="en-US"/>
    </w:rPr>
  </w:style>
  <w:style w:type="paragraph" w:customStyle="1" w:styleId="Centre">
    <w:name w:val="Centre"/>
    <w:aliases w:val="C"/>
    <w:basedOn w:val="Normal"/>
    <w:rsid w:val="009D4BF2"/>
    <w:pPr>
      <w:jc w:val="center"/>
    </w:pPr>
    <w:rPr>
      <w:b/>
      <w:szCs w:val="20"/>
    </w:rPr>
  </w:style>
  <w:style w:type="paragraph" w:customStyle="1" w:styleId="Citation">
    <w:name w:val="Citation"/>
    <w:basedOn w:val="Normal"/>
    <w:qFormat/>
    <w:rsid w:val="009D4BF2"/>
    <w:pPr>
      <w:spacing w:after="120"/>
      <w:ind w:left="1440" w:right="1440"/>
      <w:jc w:val="left"/>
    </w:pPr>
    <w:rPr>
      <w:sz w:val="20"/>
    </w:rPr>
  </w:style>
  <w:style w:type="paragraph" w:customStyle="1" w:styleId="Comment">
    <w:name w:val="Comment"/>
    <w:basedOn w:val="Normal"/>
    <w:next w:val="Normal"/>
    <w:rsid w:val="009D4BF2"/>
    <w:rPr>
      <w:rFonts w:ascii="Arial" w:hAnsi="Arial"/>
      <w:vanish/>
      <w:color w:val="FF00FF"/>
      <w:szCs w:val="20"/>
    </w:rPr>
  </w:style>
  <w:style w:type="paragraph" w:styleId="EndnoteText">
    <w:name w:val="endnote text"/>
    <w:basedOn w:val="Normal"/>
    <w:link w:val="EndnoteTextChar"/>
    <w:rsid w:val="009D4BF2"/>
    <w:pPr>
      <w:spacing w:after="120"/>
    </w:pPr>
    <w:rPr>
      <w:sz w:val="20"/>
      <w:szCs w:val="20"/>
    </w:rPr>
  </w:style>
  <w:style w:type="character" w:customStyle="1" w:styleId="EndnoteTextChar">
    <w:name w:val="Endnote Text Char"/>
    <w:link w:val="EndnoteText"/>
    <w:rsid w:val="009D4BF2"/>
    <w:rPr>
      <w:lang w:eastAsia="en-US"/>
    </w:rPr>
  </w:style>
  <w:style w:type="paragraph" w:customStyle="1" w:styleId="NormalSingle">
    <w:name w:val="Normal Single"/>
    <w:rsid w:val="009D4BF2"/>
    <w:pPr>
      <w:spacing w:after="240"/>
      <w:jc w:val="both"/>
    </w:pPr>
    <w:rPr>
      <w:rFonts w:ascii="Calibri" w:hAnsi="Calibri" w:cs="Calibri"/>
      <w:sz w:val="22"/>
      <w:lang w:eastAsia="en-US"/>
    </w:rPr>
  </w:style>
  <w:style w:type="paragraph" w:styleId="Footer">
    <w:name w:val="footer"/>
    <w:basedOn w:val="NormalSingle"/>
    <w:link w:val="FooterChar"/>
    <w:semiHidden/>
    <w:rsid w:val="009D4BF2"/>
    <w:pPr>
      <w:tabs>
        <w:tab w:val="center" w:pos="4680"/>
        <w:tab w:val="right" w:pos="9360"/>
      </w:tabs>
      <w:spacing w:after="0"/>
      <w:jc w:val="left"/>
    </w:pPr>
  </w:style>
  <w:style w:type="character" w:customStyle="1" w:styleId="FooterChar">
    <w:name w:val="Footer Char"/>
    <w:link w:val="Footer"/>
    <w:semiHidden/>
    <w:rsid w:val="009D4BF2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D4BF2"/>
    <w:pPr>
      <w:spacing w:after="12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9D4BF2"/>
    <w:rPr>
      <w:lang w:eastAsia="en-US"/>
    </w:rPr>
  </w:style>
  <w:style w:type="paragraph" w:customStyle="1" w:styleId="Hanging">
    <w:name w:val="Hanging"/>
    <w:aliases w:val="H"/>
    <w:basedOn w:val="Normal"/>
    <w:rsid w:val="009D4BF2"/>
    <w:pPr>
      <w:ind w:left="720" w:hanging="720"/>
    </w:pPr>
    <w:rPr>
      <w:szCs w:val="20"/>
    </w:rPr>
  </w:style>
  <w:style w:type="paragraph" w:styleId="Header">
    <w:name w:val="header"/>
    <w:basedOn w:val="NormalSingle"/>
    <w:link w:val="HeaderChar"/>
    <w:semiHidden/>
    <w:rsid w:val="009D4BF2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link w:val="Header"/>
    <w:semiHidden/>
    <w:rsid w:val="009D4BF2"/>
    <w:rPr>
      <w:sz w:val="24"/>
      <w:lang w:eastAsia="en-US"/>
    </w:rPr>
  </w:style>
  <w:style w:type="character" w:customStyle="1" w:styleId="Heading4Char">
    <w:name w:val="Heading 4 Char"/>
    <w:link w:val="Heading4"/>
    <w:semiHidden/>
    <w:rsid w:val="009D4BF2"/>
    <w:rPr>
      <w:rFonts w:eastAsia="SimSun" w:cs="Angsana New"/>
      <w:bCs/>
      <w:iCs/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9D4BF2"/>
    <w:rPr>
      <w:rFonts w:eastAsia="SimSun" w:cs="Angsana New"/>
      <w:sz w:val="24"/>
      <w:szCs w:val="24"/>
      <w:lang w:eastAsia="en-US"/>
    </w:rPr>
  </w:style>
  <w:style w:type="character" w:customStyle="1" w:styleId="Heading6Char">
    <w:name w:val="Heading 6 Char"/>
    <w:link w:val="Heading6"/>
    <w:semiHidden/>
    <w:rsid w:val="009D4BF2"/>
    <w:rPr>
      <w:rFonts w:eastAsia="SimSun" w:cs="Angsana New"/>
      <w:iCs/>
      <w:sz w:val="24"/>
      <w:szCs w:val="24"/>
      <w:lang w:eastAsia="en-US"/>
    </w:rPr>
  </w:style>
  <w:style w:type="character" w:customStyle="1" w:styleId="Heading7Char">
    <w:name w:val="Heading 7 Char"/>
    <w:link w:val="Heading7"/>
    <w:semiHidden/>
    <w:rsid w:val="009D4BF2"/>
    <w:rPr>
      <w:rFonts w:eastAsia="SimSun" w:cs="Angsana New"/>
      <w:iCs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9D4BF2"/>
    <w:rPr>
      <w:rFonts w:eastAsia="SimSun" w:cs="Angsana New"/>
      <w:sz w:val="24"/>
      <w:lang w:eastAsia="en-US"/>
    </w:rPr>
  </w:style>
  <w:style w:type="character" w:customStyle="1" w:styleId="Heading9Char">
    <w:name w:val="Heading 9 Char"/>
    <w:link w:val="Heading9"/>
    <w:semiHidden/>
    <w:rsid w:val="009D4BF2"/>
    <w:rPr>
      <w:rFonts w:eastAsia="SimSun" w:cs="Angsana New"/>
      <w:iCs/>
      <w:sz w:val="24"/>
      <w:lang w:eastAsia="en-US"/>
    </w:rPr>
  </w:style>
  <w:style w:type="paragraph" w:customStyle="1" w:styleId="Indent1">
    <w:name w:val="Indent1"/>
    <w:aliases w:val="I1"/>
    <w:basedOn w:val="Normal"/>
    <w:rsid w:val="009D4BF2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rsid w:val="009D4BF2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rsid w:val="009D4BF2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rsid w:val="009D4BF2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rsid w:val="009D4BF2"/>
    <w:pPr>
      <w:ind w:left="3600"/>
    </w:pPr>
    <w:rPr>
      <w:szCs w:val="20"/>
    </w:rPr>
  </w:style>
  <w:style w:type="paragraph" w:customStyle="1" w:styleId="Left">
    <w:name w:val="Left"/>
    <w:aliases w:val="L"/>
    <w:basedOn w:val="Normal"/>
    <w:rsid w:val="009D4BF2"/>
    <w:pPr>
      <w:jc w:val="left"/>
    </w:pPr>
    <w:rPr>
      <w:szCs w:val="20"/>
    </w:rPr>
  </w:style>
  <w:style w:type="paragraph" w:customStyle="1" w:styleId="MainHeading">
    <w:name w:val="MainHeading"/>
    <w:aliases w:val="MH"/>
    <w:basedOn w:val="NormalSingle"/>
    <w:next w:val="Normal"/>
    <w:rsid w:val="009D4BF2"/>
    <w:pPr>
      <w:keepNext/>
      <w:keepLines/>
      <w:spacing w:before="120"/>
      <w:jc w:val="left"/>
    </w:pPr>
    <w:rPr>
      <w:b/>
      <w:caps/>
    </w:rPr>
  </w:style>
  <w:style w:type="character" w:styleId="PageNumber">
    <w:name w:val="page number"/>
    <w:semiHidden/>
    <w:rsid w:val="009D4BF2"/>
    <w:rPr>
      <w:sz w:val="24"/>
    </w:rPr>
  </w:style>
  <w:style w:type="paragraph" w:customStyle="1" w:styleId="PlainSingle">
    <w:name w:val="Plain Single"/>
    <w:basedOn w:val="NormalSingle"/>
    <w:rsid w:val="009D4BF2"/>
    <w:pPr>
      <w:spacing w:after="0"/>
      <w:jc w:val="left"/>
    </w:pPr>
  </w:style>
  <w:style w:type="paragraph" w:customStyle="1" w:styleId="Plain">
    <w:name w:val="Plain"/>
    <w:aliases w:val="P"/>
    <w:basedOn w:val="Normal"/>
    <w:rsid w:val="009D4BF2"/>
    <w:pPr>
      <w:spacing w:after="0"/>
      <w:jc w:val="left"/>
    </w:pPr>
    <w:rPr>
      <w:szCs w:val="20"/>
    </w:rPr>
  </w:style>
  <w:style w:type="character" w:customStyle="1" w:styleId="Prompt">
    <w:name w:val="Prompt"/>
    <w:rsid w:val="009D4BF2"/>
    <w:rPr>
      <w:color w:val="0000FF"/>
    </w:rPr>
  </w:style>
  <w:style w:type="paragraph" w:customStyle="1" w:styleId="Reference">
    <w:name w:val="Reference"/>
    <w:aliases w:val="Ref"/>
    <w:basedOn w:val="Normal"/>
    <w:rsid w:val="009D4BF2"/>
    <w:rPr>
      <w:b/>
    </w:rPr>
  </w:style>
  <w:style w:type="paragraph" w:customStyle="1" w:styleId="Right">
    <w:name w:val="Right"/>
    <w:aliases w:val="R"/>
    <w:basedOn w:val="Normal"/>
    <w:rsid w:val="009D4BF2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rsid w:val="009D4BF2"/>
    <w:pPr>
      <w:keepNext/>
      <w:keepLines/>
      <w:spacing w:before="120" w:after="120"/>
      <w:jc w:val="left"/>
    </w:pPr>
    <w:rPr>
      <w:b/>
    </w:rPr>
  </w:style>
  <w:style w:type="paragraph" w:customStyle="1" w:styleId="Tab">
    <w:name w:val="Tab"/>
    <w:aliases w:val="T"/>
    <w:basedOn w:val="Normal"/>
    <w:rsid w:val="009D4BF2"/>
    <w:pPr>
      <w:ind w:firstLine="720"/>
    </w:pPr>
    <w:rPr>
      <w:szCs w:val="20"/>
    </w:rPr>
  </w:style>
  <w:style w:type="paragraph" w:customStyle="1" w:styleId="Tab2">
    <w:name w:val="Tab2"/>
    <w:aliases w:val="T2"/>
    <w:basedOn w:val="Normal"/>
    <w:rsid w:val="009D4BF2"/>
    <w:pPr>
      <w:ind w:firstLine="1440"/>
    </w:pPr>
  </w:style>
  <w:style w:type="paragraph" w:customStyle="1" w:styleId="TableHeading">
    <w:name w:val="TableHeading"/>
    <w:aliases w:val="TH"/>
    <w:basedOn w:val="NormalSingle"/>
    <w:rsid w:val="009D4BF2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9D4BF2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9D4BF2"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rsid w:val="009D4BF2"/>
    <w:pPr>
      <w:tabs>
        <w:tab w:val="left" w:pos="1440"/>
        <w:tab w:val="right" w:leader="dot" w:pos="9360"/>
      </w:tabs>
      <w:ind w:left="720"/>
      <w:jc w:val="left"/>
    </w:pPr>
  </w:style>
  <w:style w:type="table" w:styleId="TableGrid">
    <w:name w:val="Table Grid"/>
    <w:basedOn w:val="TableNormal"/>
    <w:uiPriority w:val="59"/>
    <w:rsid w:val="00A1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AL1">
    <w:name w:val="BulletsA_L1"/>
    <w:basedOn w:val="Normal"/>
    <w:rsid w:val="00A13F18"/>
    <w:pPr>
      <w:numPr>
        <w:numId w:val="16"/>
      </w:numPr>
      <w:spacing w:after="40"/>
    </w:pPr>
  </w:style>
  <w:style w:type="paragraph" w:customStyle="1" w:styleId="BulletsAL2">
    <w:name w:val="BulletsA_L2"/>
    <w:basedOn w:val="Normal"/>
    <w:rsid w:val="00A13F18"/>
    <w:pPr>
      <w:numPr>
        <w:ilvl w:val="1"/>
        <w:numId w:val="16"/>
      </w:numPr>
    </w:pPr>
  </w:style>
  <w:style w:type="paragraph" w:customStyle="1" w:styleId="BulletsAL3">
    <w:name w:val="BulletsA_L3"/>
    <w:basedOn w:val="Normal"/>
    <w:rsid w:val="00A13F18"/>
    <w:pPr>
      <w:numPr>
        <w:ilvl w:val="2"/>
        <w:numId w:val="16"/>
      </w:numPr>
    </w:pPr>
  </w:style>
  <w:style w:type="paragraph" w:customStyle="1" w:styleId="BulletsAL4">
    <w:name w:val="BulletsA_L4"/>
    <w:basedOn w:val="Normal"/>
    <w:rsid w:val="00A13F18"/>
    <w:pPr>
      <w:numPr>
        <w:ilvl w:val="3"/>
        <w:numId w:val="16"/>
      </w:numPr>
    </w:pPr>
  </w:style>
  <w:style w:type="paragraph" w:customStyle="1" w:styleId="BulletsAL5">
    <w:name w:val="BulletsA_L5"/>
    <w:basedOn w:val="Normal"/>
    <w:rsid w:val="00A13F18"/>
    <w:pPr>
      <w:numPr>
        <w:ilvl w:val="4"/>
        <w:numId w:val="16"/>
      </w:numPr>
    </w:pPr>
  </w:style>
  <w:style w:type="paragraph" w:customStyle="1" w:styleId="BulletsAL6">
    <w:name w:val="BulletsA_L6"/>
    <w:basedOn w:val="Normal"/>
    <w:rsid w:val="00A13F18"/>
    <w:pPr>
      <w:numPr>
        <w:ilvl w:val="5"/>
        <w:numId w:val="16"/>
      </w:numPr>
    </w:pPr>
  </w:style>
  <w:style w:type="paragraph" w:customStyle="1" w:styleId="BulletsAL7">
    <w:name w:val="BulletsA_L7"/>
    <w:basedOn w:val="Normal"/>
    <w:rsid w:val="00A13F18"/>
    <w:pPr>
      <w:numPr>
        <w:ilvl w:val="6"/>
        <w:numId w:val="16"/>
      </w:numPr>
    </w:pPr>
  </w:style>
  <w:style w:type="paragraph" w:customStyle="1" w:styleId="BulletsAL8">
    <w:name w:val="BulletsA_L8"/>
    <w:basedOn w:val="Normal"/>
    <w:rsid w:val="00A13F18"/>
    <w:pPr>
      <w:numPr>
        <w:ilvl w:val="7"/>
        <w:numId w:val="16"/>
      </w:numPr>
    </w:pPr>
  </w:style>
  <w:style w:type="paragraph" w:customStyle="1" w:styleId="BulletsAL9">
    <w:name w:val="BulletsA_L9"/>
    <w:basedOn w:val="Normal"/>
    <w:rsid w:val="00A13F18"/>
    <w:pPr>
      <w:numPr>
        <w:ilvl w:val="8"/>
        <w:numId w:val="16"/>
      </w:numPr>
    </w:pPr>
  </w:style>
  <w:style w:type="numbering" w:customStyle="1" w:styleId="BulletsAList">
    <w:name w:val="BulletsA List"/>
    <w:basedOn w:val="NoList"/>
    <w:rsid w:val="00A13F1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8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4583"/>
    <w:pPr>
      <w:ind w:left="720"/>
      <w:contextualSpacing/>
    </w:pPr>
  </w:style>
  <w:style w:type="paragraph" w:customStyle="1" w:styleId="DocsID">
    <w:name w:val="DocsID"/>
    <w:basedOn w:val="Normal"/>
    <w:rsid w:val="007E2CB8"/>
    <w:pPr>
      <w:spacing w:before="20" w:after="0"/>
      <w:jc w:val="left"/>
    </w:pPr>
    <w:rPr>
      <w:rFonts w:ascii="Times New Roman" w:hAnsi="Times New Roman" w:cs="Times New Roman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ti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581D-6DD4-4435-8997-3B230459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2020-02-18T17:40:17Z</dcterms:created>
  <dcterms:modified xsi:type="dcterms:W3CDTF">2020-02-18T17:40:17Z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6952344</vt:lpwstr>
  </property>
</Properties>
</file>