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B62B09">
      <w:pPr>
        <w:pStyle w:val="ListBullet"/>
      </w:pPr>
      <w:r>
        <w:rPr>
          <w:b/>
        </w:rPr>
        <w:t>Chambers Canada</w:t>
      </w:r>
    </w:p>
    <w:p w:rsidR="00B62B09" w:rsidP="00EC64A2">
      <w:pPr>
        <w:pStyle w:val="ListBullet"/>
        <w:numPr>
          <w:ilvl w:val="0"/>
          <w:numId w:val="0"/>
        </w:numPr>
        <w:ind w:left="374"/>
      </w:pPr>
      <w:r>
        <w:t>Ranked, Litigation: General Commercial - Ontario and Dispute Resolution: Class Actions (</w:t>
      </w:r>
      <w:r>
        <w:t>Defence</w:t>
      </w:r>
      <w:r>
        <w:t>)</w:t>
      </w:r>
      <w:r>
        <w:br/>
      </w:r>
      <w:r>
        <w:br/>
      </w:r>
      <w:r>
        <w:rPr>
          <w:b/>
        </w:rPr>
        <w:t>Chambers Global The World's Leading Lawyers for Business</w:t>
      </w:r>
    </w:p>
    <w:p w:rsidR="00B62B09" w:rsidP="00EC64A2">
      <w:pPr>
        <w:pStyle w:val="ListBullet"/>
        <w:numPr>
          <w:ilvl w:val="0"/>
          <w:numId w:val="0"/>
        </w:numPr>
        <w:ind w:left="374"/>
      </w:pPr>
      <w:r>
        <w:t>Ranked, Dispute Resolution: Canada</w:t>
      </w:r>
      <w:r>
        <w:br/>
      </w:r>
      <w:r>
        <w:br/>
      </w:r>
      <w:r>
        <w:rPr>
          <w:b/>
        </w:rPr>
        <w:t>The Legal 500 Canada</w:t>
      </w:r>
    </w:p>
    <w:p w:rsidR="00AC05D0">
      <w:pPr>
        <w:pStyle w:val="ListBullet"/>
        <w:numPr>
          <w:ilvl w:val="0"/>
          <w:numId w:val="0"/>
        </w:numPr>
        <w:ind w:left="374"/>
      </w:pPr>
      <w:r>
        <w:t>Leading Lawyer, Dispute Resolution: Ontario</w:t>
      </w:r>
      <w:r>
        <w:br/>
      </w:r>
      <w:bookmarkStart w:id="0" w:name="_GoBack"/>
      <w:bookmarkEnd w:id="0"/>
    </w:p>
    <w:p w:rsidR="00B62B09">
      <w:pPr>
        <w:pStyle w:val="ListBullet"/>
      </w:pPr>
      <w:r>
        <w:rPr>
          <w:b/>
        </w:rPr>
        <w:t xml:space="preserve">The Canadian Legal </w:t>
      </w:r>
      <w:r>
        <w:rPr>
          <w:b/>
        </w:rPr>
        <w:t>Lexpert</w:t>
      </w:r>
      <w:r>
        <w:rPr>
          <w:b/>
        </w:rPr>
        <w:t xml:space="preserve"> Directory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Most Frequently Recommended, Litigation - Corporate Commercial</w:t>
      </w:r>
      <w:r>
        <w:br/>
        <w:t>Consistently Recommended, Litigation - Directors' &amp; Officers' Liability, Class Actions, Litigation - Securities</w:t>
      </w:r>
      <w:r>
        <w:br/>
        <w:t>Repeatedly Recommended, Commercial Arbitration; Litigation - Commercial Insurance; Litigation - Product Liability; Litigation - Regulatory and Public Law; and Professional Liability</w:t>
      </w:r>
      <w:r>
        <w:br/>
      </w:r>
    </w:p>
    <w:p w:rsidR="00B62B09">
      <w:pPr>
        <w:pStyle w:val="ListBullet"/>
      </w:pPr>
      <w:r>
        <w:rPr>
          <w:b/>
        </w:rPr>
        <w:t>Best Lawyers in Canada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Recognized in the areas of Bet-the-Company Litigation; Class Action Litigation; Corporate and Commercial Litigation; Director and Officer Liability Practice; Legal Malpractice Law; Securities Law</w:t>
      </w:r>
    </w:p>
    <w:p w:rsidR="00B62B09">
      <w:pPr>
        <w:pStyle w:val="ListBullet"/>
      </w:pPr>
      <w:r>
        <w:rPr>
          <w:b/>
        </w:rPr>
        <w:t>Euromoney</w:t>
      </w:r>
      <w:r>
        <w:rPr>
          <w:b/>
        </w:rPr>
        <w:t xml:space="preserve"> Legal Media Group Litigation Expert Guide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Recognized as one of the leading practitioners in litigation</w:t>
      </w:r>
      <w:r>
        <w:br/>
      </w:r>
    </w:p>
    <w:p w:rsidR="00B62B09">
      <w:pPr>
        <w:pStyle w:val="ListBullet"/>
      </w:pPr>
      <w:r>
        <w:rPr>
          <w:b/>
        </w:rPr>
        <w:t>Expert Guides The Best of the Best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Recognized as one of Canada's Top 60 litigators</w:t>
      </w:r>
      <w:r>
        <w:br/>
      </w:r>
    </w:p>
    <w:p w:rsidR="00B62B09">
      <w:pPr>
        <w:pStyle w:val="ListBullet"/>
      </w:pPr>
      <w:r>
        <w:rPr>
          <w:b/>
        </w:rPr>
        <w:t>Benchmark Litigation: Canada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Hall of Fame</w:t>
      </w:r>
      <w:r>
        <w:br/>
        <w:t>Recognized as one of the Top 50 Trial Lawyers in Canada</w:t>
      </w:r>
      <w:r>
        <w:br/>
        <w:t>Recognized as a Litigation Star</w:t>
      </w:r>
      <w:r>
        <w:br/>
      </w:r>
    </w:p>
    <w:p w:rsidR="00B62B09">
      <w:pPr>
        <w:pStyle w:val="ListBullet"/>
      </w:pPr>
      <w:r>
        <w:rPr>
          <w:b/>
        </w:rPr>
        <w:t>LexisNexis Martindale-Hubbell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AV Preeminent Peer Review Rating</w:t>
      </w:r>
      <w:r>
        <w:br/>
      </w:r>
    </w:p>
    <w:p w:rsidR="00B62B09">
      <w:pPr>
        <w:pStyle w:val="ListBullet"/>
      </w:pPr>
      <w:r>
        <w:rPr>
          <w:b/>
        </w:rPr>
        <w:t>Lexpert</w:t>
      </w:r>
      <w:r>
        <w:rPr>
          <w:b/>
        </w:rPr>
        <w:t>/American Lawyer Guide to the Leading 500 Lawyers in Canada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Ranked, Litigation - Corporate Commercial</w:t>
      </w:r>
    </w:p>
    <w:p w:rsidR="00B62B09">
      <w:pPr>
        <w:pStyle w:val="ListBullet"/>
      </w:pPr>
      <w:r>
        <w:rPr>
          <w:b/>
        </w:rPr>
        <w:t>Lexpert</w:t>
      </w:r>
      <w:r>
        <w:rPr>
          <w:b/>
        </w:rPr>
        <w:t xml:space="preserve"> Guide to the Leading U.S./Canada Cross-border Litigation Lawyers in Canada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Recognized as one of Canada's leading cross-border litigators</w:t>
      </w:r>
      <w:r>
        <w:br/>
      </w:r>
    </w:p>
    <w:p w:rsidR="00B62B09">
      <w:pPr>
        <w:pStyle w:val="ListBullet"/>
      </w:pPr>
      <w:r>
        <w:rPr>
          <w:b/>
        </w:rPr>
        <w:t>Lexpert</w:t>
      </w:r>
      <w:r>
        <w:rPr>
          <w:b/>
        </w:rPr>
        <w:t>/Report on Business Special Edition - Canada's Leading Litigation Lawyers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Recognized as a leading litigation lawyer in Canada</w:t>
      </w:r>
      <w:r>
        <w:br/>
      </w:r>
    </w:p>
    <w:p w:rsidR="00B62B09">
      <w:pPr>
        <w:pStyle w:val="ListBullet"/>
      </w:pPr>
      <w:r>
        <w:rPr>
          <w:b/>
        </w:rPr>
        <w:t>Who's Who Legal Canada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Recognized, Litigation</w:t>
      </w:r>
    </w:p>
    <w:p w:rsidR="00B62B09">
      <w:pPr>
        <w:pStyle w:val="ListBullet"/>
      </w:pPr>
      <w:r>
        <w:rPr>
          <w:b/>
        </w:rPr>
        <w:t>Who's Who Legal Litigation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Recognized as a leading lawyer in the area of litigation</w:t>
      </w:r>
      <w:r>
        <w:br/>
      </w:r>
    </w:p>
    <w:p w:rsidR="00B62B09">
      <w:pPr>
        <w:pStyle w:val="ListBullet"/>
      </w:pPr>
      <w:r>
        <w:rPr>
          <w:b/>
        </w:rPr>
        <w:t xml:space="preserve">Who's Who Legal Product Liability </w:t>
      </w:r>
      <w:r>
        <w:rPr>
          <w:b/>
        </w:rPr>
        <w:t>Defence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Recognized as a leading lawyer in the area of product liability</w:t>
      </w:r>
    </w:p>
    <w:p w:rsidR="00B62B09">
      <w:pPr>
        <w:pStyle w:val="ListBullet"/>
      </w:pPr>
      <w:r>
        <w:rPr>
          <w:b/>
        </w:rPr>
        <w:t>Who's Who Legal: Thought Leaders - Litigation</w:t>
      </w:r>
    </w:p>
    <w:p w:rsidR="00B62B09">
      <w:pPr>
        <w:pStyle w:val="ListBullet"/>
        <w:numPr>
          <w:ilvl w:val="0"/>
          <w:numId w:val="0"/>
        </w:numPr>
        <w:ind w:left="374"/>
      </w:pPr>
      <w:r>
        <w:t>Highly Recommended as a leader in the field of Litigation</w:t>
      </w:r>
    </w:p>
    <w:p w:rsidR="00CD36A5">
      <w:pPr>
        <w:pStyle w:val="ListBullet"/>
        <w:numPr>
          <w:ilvl w:val="0"/>
          <w:numId w:val="0"/>
        </w:numPr>
        <w:ind w:left="374"/>
      </w:pPr>
    </w:p>
    <w:p w:rsidR="00CD36A5">
      <w:pPr>
        <w:pStyle w:val="ListBullet"/>
        <w:numPr>
          <w:ilvl w:val="0"/>
          <w:numId w:val="0"/>
        </w:numPr>
        <w:ind w:left="374"/>
      </w:pPr>
    </w:p>
    <w:p w:rsidR="00CD36A5">
      <w:pPr>
        <w:pStyle w:val="ListBullet"/>
        <w:numPr>
          <w:ilvl w:val="0"/>
          <w:numId w:val="0"/>
        </w:numPr>
        <w:ind w:left="374"/>
      </w:pPr>
    </w:p>
    <w:sectPr w:rsidSect="00AC05D0">
      <w:footerReference w:type="default" r:id="rId4"/>
      <w:headerReference w:type="first" r:id="rId5"/>
      <w:pgSz w:w="12240" w:h="15840"/>
      <w:pgMar w:top="1928" w:right="720" w:bottom="1361" w:left="720" w:header="709" w:footer="709" w:gutter="0"/>
      <w:cols w:space="708"/>
      <w:titlePg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4E32">
    <w:pPr>
      <w:framePr w:h="547" w:hRule="exact" w:wrap="notBeside" w:vAnchor="page" w:hAnchor="page" w:x="11060" w:y="14718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664">
      <w:rPr>
        <w:rStyle w:val="PageNumber"/>
        <w:noProof/>
      </w:rPr>
      <w:t>2</w:t>
    </w:r>
    <w:r>
      <w:rPr>
        <w:rStyle w:val="PageNumber"/>
      </w:rPr>
      <w:fldChar w:fldCharType="end"/>
    </w:r>
  </w:p>
  <w:p w:rsidR="00574E3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9364980</wp:posOffset>
              </wp:positionV>
              <wp:extent cx="448056" cy="128016"/>
              <wp:effectExtent l="0" t="0" r="9525" b="5715"/>
              <wp:wrapNone/>
              <wp:docPr id="38" name="Triangle 3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0800000">
                        <a:off x="0" y="0"/>
                        <a:ext cx="448056" cy="128016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6" o:spid="_x0000_s2049" type="#_x0000_t5" style="height:10.1pt;margin-left:162pt;margin-top:737.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180;v-text-anchor:middle;visibility:visible;width:35.3pt;z-index:251663360" fillcolor="white" stroked="f" strokeweight="1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9372600</wp:posOffset>
              </wp:positionV>
              <wp:extent cx="0" cy="338328"/>
              <wp:effectExtent l="0" t="0" r="25400" b="1778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0" cy="338328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9" o:spid="_x0000_s2050" style="mso-height-percent:0;mso-height-relative:margin;mso-position-horizontal-relative:page;mso-position-vertical-relative:page;mso-wrap-distance-bottom:0;mso-wrap-distance-left:9pt;mso-wrap-distance-right:9pt;mso-wrap-distance-top:0;mso-wrap-style:square;position:absolute;visibility:visible;z-index:251661312" from="540pt,738pt" to="540pt,764.65pt" strokecolor="#d2d2d2" strokeweight="1pt">
              <v:stroke joinstyle="miter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6860283</wp:posOffset>
              </wp:positionH>
              <wp:positionV relativeFrom="page">
                <wp:posOffset>9372600</wp:posOffset>
              </wp:positionV>
              <wp:extent cx="457200" cy="338328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457200" cy="3383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74E32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2051" style="height:26.65pt;margin-left:540.2pt;margin-top:738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-text-anchor:middle;visibility:visible;width:36pt;z-index:-251657216" fillcolor="#f2f2f2" stroked="f" strokeweight="1pt">
              <v:textbox>
                <w:txbxContent>
                  <w:p w:rsidR="00574E32">
                    <w:pPr>
                      <w:jc w:val="center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74E3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6EFB" w:rsidRPr="00D321A3" w:rsidP="003E6EFB">
    <w:pPr>
      <w:pStyle w:val="Header"/>
      <w:rPr>
        <w:sz w:val="28"/>
        <w:szCs w:val="28"/>
      </w:rPr>
    </w:pPr>
    <w:r w:rsidRPr="00D321A3">
      <w:rPr>
        <w:b/>
        <w:color w:val="003F40"/>
        <w:sz w:val="28"/>
        <w:szCs w:val="28"/>
      </w:rPr>
      <w:t>Recent Recognitions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height:396.6pt;width:156.2pt" o:bullet="t">
        <v:imagedata r:id="rId1" o:title="bullet"/>
      </v:shape>
    </w:pict>
  </w:numPicBullet>
  <w:abstractNum w:abstractNumId="0">
    <w:nsid w:val="FFFFFF1D"/>
    <w:multiLevelType w:val="multilevel"/>
    <w:tmpl w:val="BC8E0900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D4B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76A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B0AB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FE2B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F5269BC"/>
    <w:lvl w:ilvl="0">
      <w:start w:val="1"/>
      <w:numFmt w:val="bullet"/>
      <w:lvlText w:val="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4AE1E0"/>
    <w:lvl w:ilvl="0">
      <w:start w:val="1"/>
      <w:numFmt w:val="bullet"/>
      <w:lvlText w:val="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640196C"/>
    <w:lvl w:ilvl="0">
      <w:start w:val="1"/>
      <w:numFmt w:val="bullet"/>
      <w:lvlText w:val="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4AED4A"/>
    <w:lvl w:ilvl="0">
      <w:start w:val="1"/>
      <w:numFmt w:val="bullet"/>
      <w:pStyle w:val="ListBullet2"/>
      <w:lvlText w:val="·"/>
      <w:lvlJc w:val="left"/>
      <w:pPr>
        <w:ind w:left="463" w:hanging="18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9F4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4843A6"/>
    <w:lvl w:ilvl="0">
      <w:start w:val="1"/>
      <w:numFmt w:val="bullet"/>
      <w:pStyle w:val="ListBullet"/>
      <w:lvlText w:val="·"/>
      <w:lvlPicBulletId w:val="0"/>
      <w:lvlJc w:val="left"/>
      <w:pPr>
        <w:ind w:left="360" w:hanging="180"/>
      </w:pPr>
      <w:rPr>
        <w:rFonts w:ascii="Symbol" w:hAnsi="Symbol" w:hint="default"/>
      </w:rPr>
    </w:lvl>
  </w:abstractNum>
  <w:abstractNum w:abstractNumId="11">
    <w:nsid w:val="04461E11"/>
    <w:multiLevelType w:val="hybridMultilevel"/>
    <w:tmpl w:val="2E68D6E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color w:val="808080" w:themeColor="background1" w:themeShade="8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11979"/>
    <w:multiLevelType w:val="hybridMultilevel"/>
    <w:tmpl w:val="B8B6BF6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color w:val="808080" w:themeColor="background1" w:themeShade="8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2516D"/>
    <w:multiLevelType w:val="hybridMultilevel"/>
    <w:tmpl w:val="F0E4E50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pPr>
      <w:spacing w:before="220" w:after="220" w:line="276" w:lineRule="auto"/>
    </w:pPr>
    <w:rPr>
      <w:rFonts w:ascii="Verdana" w:hAnsi="Verdana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420" w:after="0"/>
      <w:outlineLvl w:val="0"/>
    </w:pPr>
    <w:rPr>
      <w:rFonts w:eastAsiaTheme="majorEastAsia" w:cstheme="majorBidi"/>
      <w:b/>
      <w:color w:val="003F40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360" w:after="0"/>
      <w:outlineLvl w:val="1"/>
    </w:pPr>
    <w:rPr>
      <w:rFonts w:eastAsiaTheme="majorEastAsia" w:cstheme="majorBidi"/>
      <w:color w:val="003F40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pPr>
      <w:keepNext/>
      <w:keepLines/>
      <w:spacing w:before="280" w:after="0"/>
      <w:outlineLvl w:val="2"/>
    </w:pPr>
    <w:rPr>
      <w:rFonts w:eastAsiaTheme="majorEastAsia" w:cstheme="majorBidi"/>
      <w:color w:val="003F40" w:themeColor="accent2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pPr>
      <w:keepNext/>
      <w:keepLines/>
      <w:spacing w:before="240" w:after="0"/>
      <w:outlineLvl w:val="3"/>
    </w:pPr>
    <w:rPr>
      <w:rFonts w:eastAsiaTheme="majorEastAsia" w:cstheme="majorBidi"/>
      <w:color w:val="003F40" w:themeColor="accent2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pPr>
      <w:keepNext/>
      <w:keepLines/>
      <w:spacing w:before="240" w:after="0"/>
      <w:outlineLvl w:val="4"/>
    </w:pPr>
    <w:rPr>
      <w:rFonts w:eastAsiaTheme="majorEastAsia" w:cstheme="majorBidi"/>
      <w:color w:val="003F4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Verdana" w:hAnsi="Verdana" w:eastAsiaTheme="majorEastAsia" w:cstheme="majorBidi"/>
      <w:b/>
      <w:color w:val="003F40" w:themeColor="accent2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  <w:rPr>
      <w:color w:val="1D2529" w:themeColor="text2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pos="7910"/>
      </w:tabs>
      <w:spacing w:before="240" w:after="0"/>
    </w:pPr>
    <w:rPr>
      <w:rFonts w:cstheme="minorHAnsi"/>
      <w:b/>
      <w:bCs/>
      <w:noProof/>
      <w:color w:val="003F40" w:themeColor="accent2"/>
      <w:sz w:val="24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pos="7910"/>
      </w:tabs>
      <w:spacing w:before="0" w:after="0"/>
      <w:ind w:left="216"/>
    </w:pPr>
    <w:rPr>
      <w:rFonts w:cstheme="minorHAns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pPr>
      <w:tabs>
        <w:tab w:val="right" w:pos="7910"/>
      </w:tabs>
      <w:spacing w:before="0" w:after="0"/>
      <w:ind w:left="432"/>
    </w:pPr>
    <w:rPr>
      <w:rFonts w:cstheme="minorHAnsi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pPr>
      <w:spacing w:before="0" w:after="0"/>
      <w:ind w:left="648"/>
    </w:pPr>
    <w:rPr>
      <w:rFonts w:cstheme="minorHAnsi"/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pPr>
      <w:ind w:left="864"/>
    </w:pPr>
    <w:rPr>
      <w:rFonts w:cstheme="minorHAnsi"/>
      <w:sz w:val="24"/>
      <w:szCs w:val="20"/>
    </w:rPr>
  </w:style>
  <w:style w:type="paragraph" w:customStyle="1" w:styleId="Gofurther">
    <w:name w:val="Go further"/>
    <w:basedOn w:val="Normal"/>
    <w:pPr>
      <w:jc w:val="center"/>
    </w:pPr>
    <w:rPr>
      <w:i/>
      <w:color w:val="FFFFFF" w:themeColor="background1"/>
      <w:sz w:val="24"/>
    </w:rPr>
  </w:style>
  <w:style w:type="paragraph" w:customStyle="1" w:styleId="OfficeName">
    <w:name w:val="Office Name"/>
    <w:basedOn w:val="Normal"/>
    <w:autoRedefine/>
    <w:pPr>
      <w:spacing w:before="0" w:after="120"/>
    </w:pPr>
    <w:rPr>
      <w:b/>
      <w:color w:val="023F40"/>
    </w:rPr>
  </w:style>
  <w:style w:type="character" w:customStyle="1" w:styleId="PulloutTextBlue">
    <w:name w:val="Pullout Text (Blue)"/>
    <w:basedOn w:val="DefaultParagraphFont"/>
    <w:uiPriority w:val="1"/>
    <w:qFormat/>
    <w:rPr>
      <w:b w:val="0"/>
      <w:i/>
      <w:color w:val="0076BB" w:themeColor="accent4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Verdana" w:hAnsi="Verdana" w:eastAsiaTheme="majorEastAsia" w:cstheme="majorBidi"/>
      <w:color w:val="003F40" w:themeColor="accent2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Verdana" w:hAnsi="Verdana"/>
      <w:color w:val="1D2529" w:themeColor="text2"/>
      <w:sz w:val="20"/>
      <w:szCs w:val="22"/>
    </w:rPr>
  </w:style>
  <w:style w:type="paragraph" w:styleId="NoSpacing">
    <w:name w:val="No Spacing"/>
    <w:aliases w:val="Normal (No Spacing)"/>
    <w:basedOn w:val="Normal"/>
    <w:link w:val="NoSpacingChar"/>
    <w:uiPriority w:val="1"/>
    <w:qFormat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Verdana" w:hAnsi="Verdana" w:eastAsiaTheme="majorEastAsia" w:cstheme="majorBidi"/>
      <w:color w:val="003F40" w:themeColor="accent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Verdana" w:hAnsi="Verdana" w:eastAsiaTheme="majorEastAsia" w:cstheme="majorBidi"/>
      <w:color w:val="003F40" w:themeColor="accent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Verdana" w:hAnsi="Verdana" w:eastAsiaTheme="majorEastAsia" w:cstheme="majorBidi"/>
      <w:color w:val="003F40" w:themeColor="accent2"/>
      <w:sz w:val="28"/>
    </w:rPr>
  </w:style>
  <w:style w:type="paragraph" w:customStyle="1" w:styleId="DocumentTitle">
    <w:name w:val="Document Title"/>
    <w:pPr>
      <w:suppressAutoHyphens/>
    </w:pPr>
    <w:rPr>
      <w:rFonts w:ascii="Verdana" w:hAnsi="Verdana"/>
      <w:i/>
      <w:color w:val="003F40" w:themeColor="accent2"/>
      <w:sz w:val="64"/>
      <w:szCs w:val="6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  <w:rPr>
      <w:i/>
      <w:color w:val="003F40" w:themeColor="accent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Verdana" w:hAnsi="Verdana"/>
      <w:i/>
      <w:color w:val="003F40" w:themeColor="accent2"/>
      <w:sz w:val="20"/>
      <w:szCs w:val="22"/>
    </w:rPr>
  </w:style>
  <w:style w:type="paragraph" w:customStyle="1" w:styleId="Copyright">
    <w:name w:val="Copyright"/>
    <w:basedOn w:val="Normal"/>
    <w:pPr>
      <w:spacing w:before="0" w:after="0" w:line="90" w:lineRule="atLeast"/>
    </w:pPr>
    <w:rPr>
      <w:rFonts w:cs="Times New Roman"/>
      <w:color w:val="1D2529" w:themeColor="text2"/>
      <w:spacing w:val="-2"/>
      <w:sz w:val="12"/>
      <w:szCs w:val="11"/>
    </w:rPr>
  </w:style>
  <w:style w:type="character" w:styleId="PageNumber">
    <w:name w:val="page number"/>
    <w:basedOn w:val="DefaultParagraphFont"/>
    <w:uiPriority w:val="99"/>
    <w:semiHidden/>
    <w:unhideWhenUsed/>
    <w:rPr>
      <w:rFonts w:ascii="Verdana" w:hAnsi="Verdana"/>
      <w:color w:val="1D2529" w:themeColor="text2"/>
      <w:sz w:val="18"/>
    </w:rPr>
  </w:style>
  <w:style w:type="paragraph" w:styleId="TOCHeading">
    <w:name w:val="TOC Heading"/>
    <w:basedOn w:val="Heading1"/>
    <w:next w:val="Normal"/>
    <w:uiPriority w:val="39"/>
    <w:unhideWhenUsed/>
    <w:pPr>
      <w:outlineLvl w:val="9"/>
    </w:pPr>
    <w:rPr>
      <w:i/>
      <w:color w:val="1D2529" w:themeColor="text2"/>
    </w:rPr>
  </w:style>
  <w:style w:type="paragraph" w:styleId="ListBullet">
    <w:name w:val="List Bullet"/>
    <w:basedOn w:val="Normal"/>
    <w:uiPriority w:val="99"/>
    <w:unhideWhenUsed/>
    <w:qFormat/>
    <w:pPr>
      <w:numPr>
        <w:numId w:val="11"/>
      </w:numPr>
      <w:spacing w:before="120" w:after="120"/>
      <w:ind w:left="374" w:hanging="187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0"/>
      </w:numPr>
      <w:contextualSpacing/>
    </w:pPr>
  </w:style>
  <w:style w:type="table" w:customStyle="1" w:styleId="ListTable1Light-Accent31">
    <w:name w:val="List Table 1 Light - Accent 3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B0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B0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4" w:themeFill="accent3" w:themeFillTint="33"/>
      </w:tcPr>
    </w:tblStylePr>
    <w:tblStylePr w:type="band1Horz">
      <w:tblPr/>
      <w:tcPr>
        <w:shd w:val="clear" w:color="auto" w:fill="F6E4D4" w:themeFill="accent3" w:themeFillTint="33"/>
      </w:tcPr>
    </w:tblStylePr>
  </w:style>
  <w:style w:type="table" w:customStyle="1" w:styleId="GridTable4-Accent21">
    <w:name w:val="Grid Table 4 - Accent 21"/>
    <w:basedOn w:val="TableNormal"/>
    <w:uiPriority w:val="49"/>
    <w:tblPr>
      <w:tblStyleRowBandSize w:val="1"/>
      <w:tblStyleColBandSize w:val="1"/>
      <w:tblBorders>
        <w:top w:val="single" w:sz="4" w:space="0" w:color="00EEF2" w:themeColor="accent2" w:themeTint="99"/>
        <w:left w:val="single" w:sz="4" w:space="0" w:color="00EEF2" w:themeColor="accent2" w:themeTint="99"/>
        <w:bottom w:val="single" w:sz="4" w:space="0" w:color="00EEF2" w:themeColor="accent2" w:themeTint="99"/>
        <w:right w:val="single" w:sz="4" w:space="0" w:color="00EEF2" w:themeColor="accent2" w:themeTint="99"/>
        <w:insideH w:val="single" w:sz="4" w:space="0" w:color="00EEF2" w:themeColor="accent2" w:themeTint="99"/>
        <w:insideV w:val="single" w:sz="4" w:space="0" w:color="00EE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40" w:themeColor="accent2"/>
          <w:left w:val="single" w:sz="4" w:space="0" w:color="003F40" w:themeColor="accent2"/>
          <w:bottom w:val="single" w:sz="4" w:space="0" w:color="003F40" w:themeColor="accent2"/>
          <w:right w:val="single" w:sz="4" w:space="0" w:color="003F40" w:themeColor="accent2"/>
          <w:insideH w:val="nil"/>
          <w:insideV w:val="nil"/>
        </w:tcBorders>
        <w:shd w:val="clear" w:color="auto" w:fill="003F40" w:themeFill="accent2"/>
      </w:tcPr>
    </w:tblStylePr>
    <w:tblStylePr w:type="lastRow">
      <w:rPr>
        <w:b/>
        <w:bCs/>
      </w:rPr>
      <w:tblPr/>
      <w:tcPr>
        <w:tcBorders>
          <w:top w:val="double" w:sz="4" w:space="0" w:color="003F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FF" w:themeFill="accent2" w:themeFillTint="33"/>
      </w:tcPr>
    </w:tblStylePr>
    <w:tblStylePr w:type="band1Horz">
      <w:tblPr/>
      <w:tcPr>
        <w:shd w:val="clear" w:color="auto" w:fill="A5FDFF" w:themeFill="accent2" w:themeFillTint="33"/>
      </w:tcPr>
    </w:tblStylePr>
  </w:style>
  <w:style w:type="table" w:customStyle="1" w:styleId="SimpleTable">
    <w:name w:val="Simple Table"/>
    <w:basedOn w:val="TableNormal"/>
    <w:uiPriority w:val="99"/>
    <w:rPr>
      <w:rFonts w:ascii="Verdana" w:hAnsi="Verdana"/>
      <w:color w:val="1D2529" w:themeColor="text2"/>
      <w:sz w:val="20"/>
    </w:rPr>
    <w:tblPr>
      <w:tblStyleRowBandSize w:val="1"/>
      <w:tblStyleColBandSize w:val="1"/>
      <w:tblBorders>
        <w:bottom w:val="single" w:sz="4" w:space="0" w:color="EAEAEA" w:themeColor="background2"/>
        <w:insideH w:val="single" w:sz="4" w:space="0" w:color="EAEAEA" w:themeColor="background2"/>
      </w:tblBorders>
      <w:tblCellMar>
        <w:left w:w="144" w:type="dxa"/>
        <w:right w:w="144" w:type="dxa"/>
      </w:tblCellMar>
    </w:tblPr>
    <w:tcPr>
      <w:shd w:val="clear" w:color="auto" w:fill="auto"/>
    </w:tcPr>
    <w:tblStylePr w:type="firstRow">
      <w:rPr>
        <w:b/>
        <w:color w:val="99BE3C" w:themeColor="accent5"/>
      </w:rPr>
      <w:tblPr/>
      <w:tcPr>
        <w:tcBorders>
          <w:top w:val="single" w:sz="4" w:space="0" w:color="99BE3C" w:themeColor="accent5"/>
          <w:bottom w:val="single" w:sz="4" w:space="0" w:color="99BE3C" w:themeColor="accent5"/>
        </w:tcBorders>
        <w:shd w:val="clear" w:color="auto" w:fill="auto"/>
      </w:tcPr>
    </w:tblStylePr>
    <w:tblStylePr w:type="lastRow">
      <w:tblPr/>
      <w:tcPr>
        <w:tcBorders>
          <w:top w:val="single" w:sz="4" w:space="0" w:color="99BE3C" w:themeColor="accent5"/>
          <w:bottom w:val="single" w:sz="4" w:space="0" w:color="99BE3C" w:themeColor="accent5"/>
        </w:tcBorders>
        <w:shd w:val="clear" w:color="auto" w:fill="auto"/>
      </w:tcPr>
    </w:tblStylePr>
    <w:tblStylePr w:type="firstCol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EAEAEA" w:themeColor="background2"/>
          <w:right w:val="nil"/>
          <w:insideH w:val="single" w:sz="4" w:space="0" w:color="EAEAEA" w:themeColor="background2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single" w:sz="4" w:space="0" w:color="EAEAEA" w:themeColor="background2"/>
          <w:right w:val="nil"/>
          <w:insideH w:val="single" w:sz="4" w:space="0" w:color="EAEAEA" w:themeColor="background2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single" w:sz="4" w:space="0" w:color="EAF2D7" w:themeColor="accent5" w:themeTint="33"/>
          <w:right w:val="nil"/>
          <w:insideH w:val="single" w:sz="4" w:space="0" w:color="EAF2D7" w:themeColor="accent5" w:themeTint="33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bottom w:val="single" w:sz="4" w:space="0" w:color="EAEAEA" w:themeColor="background2"/>
          <w:insideH w:val="single" w:sz="4" w:space="0" w:color="EAEAEA" w:themeColor="background2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4" w:space="0" w:color="EAEAEA" w:themeColor="background2"/>
          <w:right w:val="nil"/>
          <w:insideH w:val="single" w:sz="4" w:space="0" w:color="EAEAEA" w:themeColor="background2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EAEAEA" w:themeColor="background2"/>
          <w:right w:val="nil"/>
          <w:insideH w:val="single" w:sz="4" w:space="0" w:color="EAEAEA" w:themeColor="background2"/>
          <w:insideV w:val="nil"/>
          <w:tl2br w:val="nil"/>
          <w:tr2bl w:val="nil"/>
        </w:tcBorders>
        <w:shd w:val="clear" w:color="auto" w:fill="auto"/>
      </w:tcPr>
    </w:tblStylePr>
  </w:style>
  <w:style w:type="character" w:styleId="Strong">
    <w:name w:val="Strong"/>
    <w:basedOn w:val="DefaultParagraphFont"/>
    <w:uiPriority w:val="22"/>
    <w:rPr>
      <w:b/>
      <w:bCs/>
    </w:rPr>
  </w:style>
  <w:style w:type="paragraph" w:customStyle="1" w:styleId="Bio-PersonName">
    <w:name w:val="Bio - Person Name"/>
    <w:basedOn w:val="Normal"/>
    <w:pPr>
      <w:spacing w:before="360" w:after="0"/>
    </w:pPr>
    <w:rPr>
      <w:b/>
      <w:i/>
      <w:color w:val="2DAF88" w:themeColor="accent1"/>
      <w:sz w:val="28"/>
    </w:rPr>
  </w:style>
  <w:style w:type="table" w:customStyle="1" w:styleId="ListTable4-Accent21">
    <w:name w:val="List Table 4 - Accent 21"/>
    <w:basedOn w:val="TableNormal"/>
    <w:uiPriority w:val="49"/>
    <w:tblPr>
      <w:tblStyleRowBandSize w:val="1"/>
      <w:tblStyleColBandSize w:val="1"/>
      <w:tblBorders>
        <w:top w:val="single" w:sz="4" w:space="0" w:color="00EEF2" w:themeColor="accent2" w:themeTint="99"/>
        <w:left w:val="single" w:sz="4" w:space="0" w:color="00EEF2" w:themeColor="accent2" w:themeTint="99"/>
        <w:bottom w:val="single" w:sz="4" w:space="0" w:color="00EEF2" w:themeColor="accent2" w:themeTint="99"/>
        <w:right w:val="single" w:sz="4" w:space="0" w:color="00EEF2" w:themeColor="accent2" w:themeTint="99"/>
        <w:insideH w:val="single" w:sz="4" w:space="0" w:color="00EE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40" w:themeColor="accent2"/>
          <w:left w:val="single" w:sz="4" w:space="0" w:color="003F40" w:themeColor="accent2"/>
          <w:bottom w:val="single" w:sz="4" w:space="0" w:color="003F40" w:themeColor="accent2"/>
          <w:right w:val="single" w:sz="4" w:space="0" w:color="003F40" w:themeColor="accent2"/>
          <w:insideH w:val="nil"/>
        </w:tcBorders>
        <w:shd w:val="clear" w:color="auto" w:fill="003F40" w:themeFill="accent2"/>
      </w:tcPr>
    </w:tblStylePr>
    <w:tblStylePr w:type="lastRow">
      <w:rPr>
        <w:b/>
        <w:bCs/>
      </w:rPr>
      <w:tblPr/>
      <w:tcPr>
        <w:tcBorders>
          <w:top w:val="double" w:sz="4" w:space="0" w:color="00EE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FF" w:themeFill="accent2" w:themeFillTint="33"/>
      </w:tcPr>
    </w:tblStylePr>
    <w:tblStylePr w:type="band1Horz">
      <w:tblPr/>
      <w:tcPr>
        <w:shd w:val="clear" w:color="auto" w:fill="A5FDFF" w:themeFill="accent2" w:themeFillTint="33"/>
      </w:tcPr>
    </w:tblStylePr>
  </w:style>
  <w:style w:type="character" w:customStyle="1" w:styleId="NoSpacingChar">
    <w:name w:val="No Spacing Char"/>
    <w:aliases w:val="Normal (No Spacing) Char"/>
    <w:basedOn w:val="DefaultParagraphFont"/>
    <w:link w:val="NoSpacing"/>
    <w:uiPriority w:val="1"/>
    <w:rPr>
      <w:rFonts w:ascii="Verdana" w:hAnsi="Verdana"/>
      <w:color w:val="1D2529" w:themeColor="text2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Verdana" w:hAnsi="Verdana"/>
      <w:color w:val="1D2529" w:themeColor="text2"/>
      <w:sz w:val="20"/>
      <w:szCs w:val="22"/>
    </w:rPr>
  </w:style>
  <w:style w:type="character" w:styleId="Hyperlink">
    <w:name w:val="Hyperlink"/>
    <w:basedOn w:val="DefaultParagraphFont"/>
    <w:uiPriority w:val="99"/>
    <w:unhideWhenUsed/>
    <w:rPr>
      <w:color w:val="00998D" w:themeColor="hyperlink"/>
      <w:u w:val="single"/>
    </w:rPr>
  </w:style>
  <w:style w:type="table" w:customStyle="1" w:styleId="PlainTable41">
    <w:name w:val="Plain Table 41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TableDark">
    <w:name w:val="Simple Table (Dark)"/>
    <w:basedOn w:val="TableNormal"/>
    <w:uiPriority w:val="99"/>
    <w:tblPr>
      <w:tblStyleRowBandSize w:val="1"/>
      <w:tblBorders>
        <w:insideV w:val="single" w:sz="18" w:space="0" w:color="FFFFFF" w:themeColor="background1"/>
      </w:tblBorders>
      <w:tblCellMar>
        <w:left w:w="144" w:type="dxa"/>
        <w:right w:w="144" w:type="dxa"/>
      </w:tblCellMar>
    </w:tblPr>
    <w:tcPr>
      <w:shd w:val="clear" w:color="auto" w:fill="F2F2F2" w:themeFill="background1" w:themeFillShade="F2"/>
    </w:tcPr>
    <w:tblStylePr w:type="firstRow">
      <w:rPr>
        <w:b/>
        <w:i w:val="0"/>
        <w:color w:val="auto"/>
      </w:rPr>
      <w:tblPr/>
      <w:tcPr>
        <w:shd w:val="clear" w:color="auto" w:fill="99BE3C" w:themeFill="accent5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AEAEA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PulloutTextMidnightGreen">
    <w:name w:val="Pullout Text (Midnight Green)"/>
    <w:basedOn w:val="DefaultParagraphFont"/>
    <w:qFormat/>
    <w:rPr>
      <w:b w:val="0"/>
      <w:bCs/>
      <w:i/>
      <w:iCs/>
      <w:color w:val="003F40"/>
      <w:sz w:val="24"/>
    </w:rPr>
  </w:style>
  <w:style w:type="paragraph" w:customStyle="1" w:styleId="OfficeInfo">
    <w:name w:val="Office Info"/>
    <w:basedOn w:val="Normal"/>
    <w:autoRedefine/>
    <w:pPr>
      <w:spacing w:before="0" w:after="0"/>
    </w:pPr>
    <w:rPr>
      <w:sz w:val="16"/>
    </w:rPr>
  </w:style>
  <w:style w:type="paragraph" w:customStyle="1" w:styleId="BioSubheading">
    <w:name w:val="Bio Subheading"/>
    <w:basedOn w:val="Normal"/>
    <w:pPr>
      <w:spacing w:after="0"/>
    </w:pPr>
    <w:rPr>
      <w:color w:val="2DAF88" w:themeColor="accent1"/>
    </w:rPr>
  </w:style>
  <w:style w:type="paragraph" w:styleId="ListParagraph">
    <w:name w:val="List Paragraph"/>
    <w:basedOn w:val="Normal"/>
    <w:uiPriority w:val="34"/>
    <w:unhideWhenUsed/>
    <w:qFormat/>
    <w:pPr>
      <w:spacing w:before="0" w:after="0" w:line="240" w:lineRule="auto"/>
      <w:ind w:left="720"/>
      <w:contextualSpacing/>
    </w:pPr>
    <w:rPr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Bennett Jones 2017">
      <a:dk1>
        <a:srgbClr val="000000"/>
      </a:dk1>
      <a:lt1>
        <a:srgbClr val="FFFFFF"/>
      </a:lt1>
      <a:dk2>
        <a:srgbClr val="1D2529"/>
      </a:dk2>
      <a:lt2>
        <a:srgbClr val="EAEAEA"/>
      </a:lt2>
      <a:accent1>
        <a:srgbClr val="2DAF88"/>
      </a:accent1>
      <a:accent2>
        <a:srgbClr val="003F40"/>
      </a:accent2>
      <a:accent3>
        <a:srgbClr val="D17C2C"/>
      </a:accent3>
      <a:accent4>
        <a:srgbClr val="0076BB"/>
      </a:accent4>
      <a:accent5>
        <a:srgbClr val="99BE3C"/>
      </a:accent5>
      <a:accent6>
        <a:srgbClr val="00998D"/>
      </a:accent6>
      <a:hlink>
        <a:srgbClr val="00998D"/>
      </a:hlink>
      <a:folHlink>
        <a:srgbClr val="25414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1738</Characters>
  <Application>Microsoft Office Word</Application>
  <DocSecurity>0</DocSecurity>
  <Lines>286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